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523" w:rsidRPr="003D429C" w:rsidRDefault="008D281B">
      <w:pPr>
        <w:spacing w:after="0" w:line="240" w:lineRule="auto"/>
        <w:jc w:val="center"/>
        <w:rPr>
          <w:rFonts w:ascii="Times New Roman" w:hAnsi="Times New Roman" w:cs="Times New Roman"/>
          <w:b/>
          <w:bCs/>
          <w:sz w:val="24"/>
          <w:szCs w:val="24"/>
        </w:rPr>
      </w:pPr>
      <w:r w:rsidRPr="003D429C">
        <w:rPr>
          <w:rFonts w:ascii="Times New Roman" w:hAnsi="Times New Roman" w:cs="Times New Roman"/>
          <w:b/>
          <w:bCs/>
          <w:sz w:val="24"/>
          <w:szCs w:val="24"/>
        </w:rPr>
        <w:t xml:space="preserve">Протокол № </w:t>
      </w:r>
      <w:r w:rsidR="00A4027F" w:rsidRPr="003D429C">
        <w:rPr>
          <w:rFonts w:ascii="Times New Roman" w:hAnsi="Times New Roman" w:cs="Times New Roman"/>
          <w:b/>
          <w:bCs/>
          <w:sz w:val="24"/>
          <w:szCs w:val="24"/>
        </w:rPr>
        <w:t>77</w:t>
      </w:r>
      <w:r w:rsidRPr="003D429C">
        <w:rPr>
          <w:rFonts w:ascii="Times New Roman" w:hAnsi="Times New Roman" w:cs="Times New Roman"/>
          <w:b/>
          <w:bCs/>
          <w:sz w:val="24"/>
          <w:szCs w:val="24"/>
        </w:rPr>
        <w:t>-3</w:t>
      </w:r>
    </w:p>
    <w:p w:rsidR="00000523" w:rsidRPr="003D429C" w:rsidRDefault="008D281B">
      <w:pPr>
        <w:spacing w:after="0" w:line="240" w:lineRule="auto"/>
        <w:jc w:val="center"/>
        <w:rPr>
          <w:rFonts w:ascii="Times New Roman" w:hAnsi="Times New Roman" w:cs="Times New Roman"/>
          <w:b/>
          <w:bCs/>
          <w:sz w:val="24"/>
          <w:szCs w:val="24"/>
        </w:rPr>
      </w:pPr>
      <w:r w:rsidRPr="003D429C">
        <w:rPr>
          <w:rFonts w:ascii="Times New Roman" w:hAnsi="Times New Roman" w:cs="Times New Roman"/>
          <w:b/>
          <w:bCs/>
          <w:sz w:val="24"/>
          <w:szCs w:val="24"/>
        </w:rPr>
        <w:t xml:space="preserve">о результатах проведения открытых торгов в форме публичного предложения </w:t>
      </w:r>
    </w:p>
    <w:p w:rsidR="00000523" w:rsidRPr="003D429C" w:rsidRDefault="00000523">
      <w:pPr>
        <w:spacing w:after="0" w:line="240" w:lineRule="auto"/>
        <w:ind w:left="7080" w:firstLine="708"/>
        <w:jc w:val="both"/>
        <w:rPr>
          <w:rFonts w:ascii="Times New Roman" w:hAnsi="Times New Roman" w:cs="Times New Roman"/>
          <w:b/>
          <w:bCs/>
          <w:sz w:val="24"/>
          <w:szCs w:val="24"/>
        </w:rPr>
      </w:pPr>
    </w:p>
    <w:p w:rsidR="00000523" w:rsidRPr="003D429C" w:rsidRDefault="00A4027F">
      <w:pPr>
        <w:spacing w:after="0" w:line="240" w:lineRule="auto"/>
        <w:ind w:left="7080" w:firstLine="708"/>
        <w:jc w:val="both"/>
        <w:rPr>
          <w:rFonts w:ascii="Times New Roman" w:hAnsi="Times New Roman" w:cs="Times New Roman"/>
          <w:b/>
          <w:bCs/>
          <w:sz w:val="24"/>
          <w:szCs w:val="24"/>
        </w:rPr>
      </w:pPr>
      <w:r w:rsidRPr="003D429C">
        <w:rPr>
          <w:rFonts w:ascii="Times New Roman" w:hAnsi="Times New Roman" w:cs="Times New Roman"/>
          <w:b/>
          <w:bCs/>
          <w:sz w:val="24"/>
          <w:szCs w:val="24"/>
        </w:rPr>
        <w:t>30.01.2018</w:t>
      </w:r>
      <w:r w:rsidR="008D281B" w:rsidRPr="003D429C">
        <w:rPr>
          <w:rFonts w:ascii="Times New Roman" w:hAnsi="Times New Roman" w:cs="Times New Roman"/>
          <w:b/>
          <w:bCs/>
          <w:sz w:val="24"/>
          <w:szCs w:val="24"/>
        </w:rPr>
        <w:t>г.</w:t>
      </w:r>
    </w:p>
    <w:p w:rsidR="00000523" w:rsidRPr="003D429C" w:rsidRDefault="00000523">
      <w:pPr>
        <w:spacing w:after="0" w:line="240" w:lineRule="auto"/>
        <w:jc w:val="center"/>
        <w:rPr>
          <w:rFonts w:ascii="Times New Roman" w:hAnsi="Times New Roman" w:cs="Times New Roman"/>
          <w:b/>
          <w:bCs/>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1. Информация о/об открытом аукционе в форме публичного предложения</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694"/>
        <w:gridCol w:w="6378"/>
      </w:tblGrid>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Форма представления предложений о цене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sz w:val="24"/>
                <w:szCs w:val="24"/>
              </w:rPr>
              <w:t>Открытая</w:t>
            </w:r>
          </w:p>
        </w:tc>
      </w:tr>
      <w:tr w:rsidR="00000523" w:rsidRPr="003D429C">
        <w:trPr>
          <w:trHeight w:val="11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Наименование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открытые торги по продаже имущества ООО «ВНЕШПРОМЛИЗИНГ» в форме публичного предложения</w:t>
            </w:r>
          </w:p>
        </w:tc>
      </w:tr>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Дополнительные сведения</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Ознакомление с предметом торгов, необходимой информацией и документами осуществляется в рабочие дни с 11:00 до 16:00 по адресу: 119812, г. Москва, Комсомольский пр-т, д. 42., тел. 89162773775, ooo.bareks@list.ru.</w:t>
            </w:r>
          </w:p>
        </w:tc>
      </w:tr>
      <w:tr w:rsidR="00000523" w:rsidRPr="003D429C">
        <w:trPr>
          <w:trHeight w:val="20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Определение победителя торгов</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Право приобретения имущества должника в форме публичного предложения принадлежит участнику торгов, который представил в установленный срок заявку на участие в торгах, содержащую предложение о цене имущества должника, которая не ниже цены продажи имущества должника, установленной для определенного периода проведения торгов, при отсутствии предложений других участников торгов по продаже имущества должника. Победителем торгов признается участник торгов, предложивший максимальную цену за имущество, но не ниже цены, установленной в указанный период действия предложения. В случае, если несколько участников торгов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победителем признается участник торгов, который первым представил в установленный срок заявку на участие в торгах по продаже имущества должника. Подведение итогов (определение участников торгов, определение победителя торгов) по каждому периоду торгов посредством публичного предложения производится не позднее одного рабочего дня по истечении указанных периодов торгов, и оформляется соответствующими протоколами. С даты определения победителя торгов по продаже имущества должника посредством публичного предложения прием заявок прекращается.</w:t>
            </w:r>
          </w:p>
        </w:tc>
      </w:tr>
      <w:tr w:rsidR="00000523" w:rsidRPr="003D429C">
        <w:trPr>
          <w:trHeight w:val="8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Порядок представления заявок на участие в торгах</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line="240" w:lineRule="auto"/>
              <w:jc w:val="center"/>
              <w:rPr>
                <w:rFonts w:ascii="Times New Roman" w:hAnsi="Times New Roman" w:cs="Times New Roman"/>
                <w:sz w:val="24"/>
                <w:szCs w:val="24"/>
              </w:rPr>
            </w:pPr>
            <w:r w:rsidRPr="003D429C">
              <w:rPr>
                <w:rFonts w:ascii="Times New Roman" w:hAnsi="Times New Roman" w:cs="Times New Roman"/>
                <w:sz w:val="24"/>
                <w:szCs w:val="24"/>
              </w:rPr>
              <w:t xml:space="preserve">Документы, прилагаемые к заявке, представляются в форме электронных документов, подписанных электронной цифровой подписью заявителя. К участию в торгах допускаются лица, зарегистрировавшиеся в качестве участника торгов, своевременно подавшие заявку и оплатившие задаток. Заявка должна соответствовать </w:t>
            </w:r>
            <w:r w:rsidRPr="003D429C">
              <w:rPr>
                <w:rFonts w:ascii="Times New Roman" w:hAnsi="Times New Roman" w:cs="Times New Roman"/>
                <w:sz w:val="24"/>
                <w:szCs w:val="24"/>
              </w:rPr>
              <w:lastRenderedPageBreak/>
              <w:t>требованиям, установленным в соответствии с ФЗ «О несостоятельности (банкротстве)», и должна содержать: наименование, организационно-правовая форма, место нахождения, почтовый адрес заявителя (для юридического лица); фамилию, имя, отчество, паспортные данные, сведения о месте жительства заявителя, ИНН (для физического лица);обязательство участника открытых торгов соблюдать требования, указанные в сообщении о проведении открытых торгов; номер контактного телефона, адрес электронной почты заявителя; сведения о наличие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конкурсный управляющий, ИНН заявителя. Заявка на участие в торгах посредством публичного предложения должна содержать дополнительное указание на предлагаемую претендентом цену, по которой он готов приобрести Имущество</w:t>
            </w:r>
          </w:p>
          <w:p w:rsidR="00000523" w:rsidRPr="003D429C" w:rsidRDefault="00000523">
            <w:pPr>
              <w:spacing w:after="0" w:line="240" w:lineRule="auto"/>
              <w:jc w:val="center"/>
              <w:rPr>
                <w:rFonts w:ascii="Times New Roman" w:hAnsi="Times New Roman" w:cs="Times New Roman"/>
              </w:rPr>
            </w:pPr>
          </w:p>
        </w:tc>
      </w:tr>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lastRenderedPageBreak/>
              <w:t>Дата начала приема заявок на участие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22.01.2018 11:00:00</w:t>
            </w:r>
          </w:p>
        </w:tc>
      </w:tr>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окончания приема заявок на участие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30.01.2018 11:00:00</w:t>
            </w:r>
          </w:p>
        </w:tc>
      </w:tr>
      <w:tr w:rsidR="00000523" w:rsidRPr="003D429C">
        <w:trPr>
          <w:trHeight w:val="14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публикации сообщения о проведении открытых торгов в официальном издании</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20.01.2018 0:00:00</w:t>
            </w:r>
          </w:p>
        </w:tc>
      </w:tr>
      <w:tr w:rsidR="00000523" w:rsidRPr="003D429C">
        <w:trPr>
          <w:trHeight w:val="17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публикации сообщения о проведении открытых торгов в печатном органе по месту нахождения должника</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20.01.2018 0:00:00</w:t>
            </w:r>
          </w:p>
        </w:tc>
      </w:tr>
      <w:tr w:rsidR="00000523" w:rsidRPr="003D429C">
        <w:trPr>
          <w:trHeight w:val="11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размещения сообщения в Едином федеральном реестре сведений о банкротстве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20.01.2018 0:00:00</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pStyle w:val="a6"/>
        <w:spacing w:line="240" w:lineRule="auto"/>
        <w:ind w:left="1068"/>
        <w:rPr>
          <w:rFonts w:ascii="Times New Roman" w:hAnsi="Times New Roman" w:cs="Times New Roman"/>
          <w:b/>
          <w:bCs/>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2. Организатор торгов</w:t>
      </w:r>
    </w:p>
    <w:tbl>
      <w:tblPr>
        <w:tblStyle w:val="TableNormal"/>
        <w:tblW w:w="850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252"/>
        <w:gridCol w:w="4253"/>
      </w:tblGrid>
      <w:tr w:rsidR="000540D3" w:rsidRPr="003D429C">
        <w:trPr>
          <w:trHeight w:val="731"/>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lastRenderedPageBreak/>
              <w:t>Полное наименование</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Общество с ограниченной ответственностью «Бюро Арбитражных Экспертов»</w:t>
            </w:r>
          </w:p>
        </w:tc>
      </w:tr>
      <w:tr w:rsidR="00000523" w:rsidRPr="003D429C">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ИНН</w:t>
            </w:r>
          </w:p>
        </w:tc>
        <w:tc>
          <w:tcPr>
            <w:tcW w:w="4253"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rPr>
              <w:t>7706728644</w:t>
            </w:r>
          </w:p>
        </w:tc>
      </w:tr>
      <w:tr w:rsidR="00000523" w:rsidRPr="003D429C">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ОГРН</w:t>
            </w:r>
          </w:p>
        </w:tc>
        <w:tc>
          <w:tcPr>
            <w:tcW w:w="4253"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rPr>
              <w:t>1097746757591</w:t>
            </w:r>
          </w:p>
        </w:tc>
      </w:tr>
      <w:tr w:rsidR="000540D3" w:rsidRPr="003D429C" w:rsidTr="007305D8">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t>Адрес электронной почты</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ooo.bareks@list.ru</w:t>
            </w:r>
          </w:p>
        </w:tc>
      </w:tr>
      <w:tr w:rsidR="000540D3" w:rsidRPr="003D429C" w:rsidTr="001022B0">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Контактный телефон</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89162773775</w:t>
            </w:r>
          </w:p>
        </w:tc>
      </w:tr>
      <w:tr w:rsidR="000540D3" w:rsidRPr="003D429C" w:rsidTr="00D80540">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Контактное лицо</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Писаренко Наталья Викторовна</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3. Арбитражный управляющий</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ФИО</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Просвирнин Георгий Юрьевич</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ИНН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773100743136</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Наименование СРО</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Ассоциации СРО «МЦПУ» (ОГРН 1027743016652, ИНН 7743069037; 123557, г. Москва, Большой Тишинский переулок, д. 38)</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Регистрационный номер ФРС</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12345</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4. Сведения о судебном деле</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Наименование арбитражного суда</w:t>
            </w:r>
          </w:p>
        </w:tc>
        <w:tc>
          <w:tcPr>
            <w:tcW w:w="4536" w:type="dxa"/>
            <w:tcBorders>
              <w:top w:val="nil"/>
              <w:left w:val="nil"/>
              <w:bottom w:val="nil"/>
              <w:right w:val="nil"/>
            </w:tcBorders>
            <w:shd w:val="clear" w:color="auto" w:fill="auto"/>
            <w:tcMar>
              <w:top w:w="80" w:type="dxa"/>
              <w:left w:w="80" w:type="dxa"/>
              <w:bottom w:w="80" w:type="dxa"/>
              <w:right w:w="80" w:type="dxa"/>
            </w:tcMa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Арбитражный суд города Москвы</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Номер дела о банкротстве</w:t>
            </w:r>
          </w:p>
        </w:tc>
        <w:tc>
          <w:tcPr>
            <w:tcW w:w="4536" w:type="dxa"/>
            <w:tcBorders>
              <w:top w:val="nil"/>
              <w:left w:val="nil"/>
              <w:bottom w:val="nil"/>
              <w:right w:val="nil"/>
            </w:tcBorders>
            <w:shd w:val="clear" w:color="auto" w:fill="auto"/>
            <w:tcMar>
              <w:top w:w="80" w:type="dxa"/>
              <w:left w:w="80" w:type="dxa"/>
              <w:bottom w:w="80" w:type="dxa"/>
              <w:right w:w="80" w:type="dxa"/>
            </w:tcMa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А40-82237/2017 -187-124 Б</w:t>
            </w:r>
          </w:p>
        </w:tc>
      </w:tr>
      <w:tr w:rsidR="00000523" w:rsidRPr="003D429C">
        <w:trPr>
          <w:trHeight w:val="8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Основание для проведения торгов</w:t>
            </w:r>
          </w:p>
        </w:tc>
        <w:tc>
          <w:tcPr>
            <w:tcW w:w="4536" w:type="dxa"/>
            <w:tcBorders>
              <w:top w:val="nil"/>
              <w:left w:val="nil"/>
              <w:bottom w:val="nil"/>
              <w:right w:val="nil"/>
            </w:tcBorders>
            <w:shd w:val="clear" w:color="auto" w:fill="auto"/>
            <w:tcMar>
              <w:top w:w="80" w:type="dxa"/>
              <w:left w:w="80" w:type="dxa"/>
              <w:bottom w:w="80" w:type="dxa"/>
              <w:right w:w="80" w:type="dxa"/>
            </w:tcMa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Решение Арбитражного суда города Москвы от 16 июня 2017 по делу № А40-82237/17-187-124 «Б»</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5. Информация о должнике</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Тип должника</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sz w:val="24"/>
                <w:szCs w:val="24"/>
              </w:rPr>
              <w:t xml:space="preserve">Юридическое лицо </w:t>
            </w:r>
          </w:p>
        </w:tc>
      </w:tr>
      <w:tr w:rsidR="00000523" w:rsidRPr="003D429C">
        <w:trPr>
          <w:trHeight w:val="5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Полное наименование организации</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ОБЩЕСТВО С ОГРАНИЧЕННОЙ ОТВЕТСТВЕННОСТЬЮ "ВНЕШПРОМЛИЗИНГ"</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Краткое наименование организации</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ОБЩЕСТВО С ОГРАНИЧЕННОЙ ОТВЕТСТВЕННОСТЬЮ "ВНЕШПРОМЛИЗИНГ"</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ИНН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7704215580</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ОГРН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1027700251700</w:t>
            </w:r>
          </w:p>
        </w:tc>
      </w:tr>
      <w:tr w:rsidR="00000523" w:rsidRPr="003D429C">
        <w:trPr>
          <w:trHeight w:val="59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sz w:val="24"/>
                <w:szCs w:val="24"/>
              </w:rPr>
            </w:pPr>
            <w:r w:rsidRPr="003D429C">
              <w:rPr>
                <w:rFonts w:ascii="Times New Roman" w:hAnsi="Times New Roman" w:cs="Times New Roman"/>
                <w:sz w:val="24"/>
                <w:szCs w:val="24"/>
              </w:rPr>
              <w:lastRenderedPageBreak/>
              <w:t xml:space="preserve">Порядок и срок </w:t>
            </w:r>
          </w:p>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заключения договора купли-продажи</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В течение 5 дней с даты подведения результатов торгов победитель торгов (Покупатель) и Конкурсный управляющий заключают соответствующий договор купли-продажи. В случае изменения объема передаваемых прав в процессе проведения торгов по продаже дебиторской задолженности на сумму произведенного погашения, будет произведено изменение номинальной стоимости лота при заключении договора уступки прав требования по итогам проведения торгов. Условием перехода прав на имущество Продавца является поступление на основной счет ООО " ВНЕШПРОМЛИЗИНГ " (ООО «</w:t>
            </w:r>
            <w:proofErr w:type="spellStart"/>
            <w:r w:rsidRPr="003D429C">
              <w:rPr>
                <w:rFonts w:ascii="Times New Roman" w:hAnsi="Times New Roman" w:cs="Times New Roman"/>
                <w:sz w:val="24"/>
                <w:szCs w:val="24"/>
              </w:rPr>
              <w:t>Внешпромлизинг</w:t>
            </w:r>
            <w:proofErr w:type="spellEnd"/>
            <w:r w:rsidRPr="003D429C">
              <w:rPr>
                <w:rFonts w:ascii="Times New Roman" w:hAnsi="Times New Roman" w:cs="Times New Roman"/>
                <w:sz w:val="24"/>
                <w:szCs w:val="24"/>
              </w:rPr>
              <w:t xml:space="preserve">» Юр. адрес: 119992, г. Москва, Комсомольский проспект, д. </w:t>
            </w:r>
            <w:proofErr w:type="gramStart"/>
            <w:r w:rsidRPr="003D429C">
              <w:rPr>
                <w:rFonts w:ascii="Times New Roman" w:hAnsi="Times New Roman" w:cs="Times New Roman"/>
                <w:sz w:val="24"/>
                <w:szCs w:val="24"/>
              </w:rPr>
              <w:t>42.ИНН</w:t>
            </w:r>
            <w:proofErr w:type="gramEnd"/>
            <w:r w:rsidRPr="003D429C">
              <w:rPr>
                <w:rFonts w:ascii="Times New Roman" w:hAnsi="Times New Roman" w:cs="Times New Roman"/>
                <w:sz w:val="24"/>
                <w:szCs w:val="24"/>
              </w:rPr>
              <w:t xml:space="preserve"> 7704215580 КПП 770401001 Р/</w:t>
            </w:r>
            <w:proofErr w:type="spellStart"/>
            <w:r w:rsidRPr="003D429C">
              <w:rPr>
                <w:rFonts w:ascii="Times New Roman" w:hAnsi="Times New Roman" w:cs="Times New Roman"/>
                <w:sz w:val="24"/>
                <w:szCs w:val="24"/>
              </w:rPr>
              <w:t>сч</w:t>
            </w:r>
            <w:proofErr w:type="spellEnd"/>
            <w:r w:rsidRPr="003D429C">
              <w:rPr>
                <w:rFonts w:ascii="Times New Roman" w:hAnsi="Times New Roman" w:cs="Times New Roman"/>
                <w:sz w:val="24"/>
                <w:szCs w:val="24"/>
              </w:rPr>
              <w:t xml:space="preserve">. № 40702810300000185162 в «ВТБ 24 (ПАО)» г. Москва к/с </w:t>
            </w:r>
            <w:proofErr w:type="gramStart"/>
            <w:r w:rsidRPr="003D429C">
              <w:rPr>
                <w:rFonts w:ascii="Times New Roman" w:hAnsi="Times New Roman" w:cs="Times New Roman"/>
                <w:sz w:val="24"/>
                <w:szCs w:val="24"/>
              </w:rPr>
              <w:t>30101810100000000716 ,</w:t>
            </w:r>
            <w:proofErr w:type="gramEnd"/>
            <w:r w:rsidRPr="003D429C">
              <w:rPr>
                <w:rFonts w:ascii="Times New Roman" w:hAnsi="Times New Roman" w:cs="Times New Roman"/>
                <w:sz w:val="24"/>
                <w:szCs w:val="24"/>
              </w:rPr>
              <w:t xml:space="preserve"> БИК 044525716), денежных средств от Покупателя за проданное имущество в течение 30 дней с даты заключения договора купли-продажи.</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6. Контактное лицо</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rsidTr="00A4027F">
        <w:trPr>
          <w:trHeight w:hRule="exact" w:val="413"/>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ФИО</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Писаренко Наталья Викторовна</w:t>
            </w:r>
          </w:p>
        </w:tc>
      </w:tr>
      <w:tr w:rsidR="00000523" w:rsidRPr="003D429C" w:rsidTr="00A4027F">
        <w:trPr>
          <w:trHeight w:hRule="exact" w:val="491"/>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Контактный телефон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89162773775</w:t>
            </w:r>
          </w:p>
        </w:tc>
      </w:tr>
      <w:tr w:rsidR="00000523" w:rsidRPr="003D429C" w:rsidTr="00A4027F">
        <w:trPr>
          <w:trHeight w:hRule="exact" w:val="485"/>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Адрес электронной почты</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ooo.bareks@list.ru</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7. Лоты</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71"/>
        <w:gridCol w:w="5101"/>
      </w:tblGrid>
      <w:tr w:rsidR="00000523" w:rsidRPr="003D429C">
        <w:trPr>
          <w:trHeight w:val="247"/>
        </w:trPr>
        <w:tc>
          <w:tcPr>
            <w:tcW w:w="3971" w:type="dxa"/>
            <w:tcBorders>
              <w:top w:val="nil"/>
              <w:left w:val="nil"/>
              <w:bottom w:val="nil"/>
              <w:right w:val="nil"/>
            </w:tcBorders>
            <w:shd w:val="clear" w:color="auto" w:fill="auto"/>
            <w:tcMar>
              <w:top w:w="80" w:type="dxa"/>
              <w:left w:w="80" w:type="dxa"/>
              <w:bottom w:w="80" w:type="dxa"/>
              <w:right w:w="80" w:type="dxa"/>
            </w:tcMa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Наименование лота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 xml:space="preserve">Лот №3 – дебиторская задолженность (право требования) от Должника к покупателям, поставщикам, прочим дебиторам и кредиторам номинальной стоимостью 129 164 491,45 рублей (ООО «Белани»-127 087 430,06 руб., ООО «СТА Логистика РУС»-2 077 061,39 </w:t>
            </w:r>
            <w:proofErr w:type="spellStart"/>
            <w:r w:rsidRPr="003D429C">
              <w:rPr>
                <w:rFonts w:ascii="Times New Roman" w:hAnsi="Times New Roman" w:cs="Times New Roman"/>
                <w:sz w:val="24"/>
                <w:szCs w:val="24"/>
              </w:rPr>
              <w:t>руб</w:t>
            </w:r>
            <w:proofErr w:type="spellEnd"/>
          </w:p>
        </w:tc>
      </w:tr>
      <w:tr w:rsidR="00000523" w:rsidRPr="003D429C">
        <w:trPr>
          <w:trHeight w:val="14735"/>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Документы, прилагаемые к заявке, представляются в форме электронных документов, подписанных электронной цифровой подписью заявителя. К участию в торгах допускаются лица, зарегистрировавшиеся в качестве участника торгов, своевременно подавшие заявку и оплатившие задаток. Заявка должна соответствовать требованиям, установленным в соответствии с ФЗ «О несостоятельности (банкротстве)», и должна содержать: наименование, организационно-правовая форма, место нахождения, почтовый адрес заявителя (для юридического лица); фамилию, имя, отчество, паспортные данные, сведения о месте жительства заявителя, ИНН (для физического лица);обязательство участника открытых торгов соблюдать требования, указанные в сообщении о проведении открытых торгов; номер контактного телефона, адрес электронной почты заявителя; сведения о наличие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конкурсный управляющий, ИНН заявителя. Заявка на участие в торгах посредством публичного предложения должна содержать дополнительное указание на предлагаемую претендентом цену, по которой он готов приобрести Имущество.</w:t>
            </w:r>
          </w:p>
        </w:tc>
      </w:tr>
      <w:tr w:rsidR="00000523" w:rsidRPr="003D429C">
        <w:trPr>
          <w:trHeight w:val="2947"/>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sz w:val="24"/>
                <w:szCs w:val="24"/>
              </w:rPr>
              <w:lastRenderedPageBreak/>
              <w:t>Сведения об имуществе, его составе, характеристиках, описание, порядок ознакомления</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 xml:space="preserve">Лот №3 – дебиторская задолженность (право требования) от Должника к покупателям, поставщикам, прочим дебиторам и кредиторам номинальной стоимостью 129 164 491,45 рублей (ООО «Белани»-127 087 430,06 руб., ООО «СТА Логистика РУС»-2 077 061,39 </w:t>
            </w:r>
            <w:proofErr w:type="spellStart"/>
            <w:r w:rsidRPr="003D429C">
              <w:rPr>
                <w:rFonts w:ascii="Times New Roman" w:hAnsi="Times New Roman" w:cs="Times New Roman"/>
                <w:sz w:val="24"/>
                <w:szCs w:val="24"/>
              </w:rPr>
              <w:t>руб</w:t>
            </w:r>
            <w:proofErr w:type="spellEnd"/>
          </w:p>
        </w:tc>
      </w:tr>
      <w:tr w:rsidR="00000523" w:rsidRPr="003D429C">
        <w:trPr>
          <w:trHeight w:val="247"/>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Начальная цена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 xml:space="preserve">116248042,31 </w:t>
            </w:r>
            <w:r w:rsidR="008D281B" w:rsidRPr="003D429C">
              <w:rPr>
                <w:rFonts w:ascii="Times New Roman" w:hAnsi="Times New Roman" w:cs="Times New Roman"/>
                <w:sz w:val="24"/>
                <w:szCs w:val="24"/>
              </w:rPr>
              <w:t>руб.</w:t>
            </w:r>
          </w:p>
        </w:tc>
      </w:tr>
      <w:tr w:rsidR="00000523" w:rsidRPr="003D429C">
        <w:trPr>
          <w:trHeight w:val="247"/>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Обеспечение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sz w:val="24"/>
                <w:szCs w:val="24"/>
              </w:rPr>
              <w:t>Процент от начальной цены лота</w:t>
            </w:r>
          </w:p>
        </w:tc>
      </w:tr>
      <w:tr w:rsidR="00000523" w:rsidRPr="003D429C">
        <w:trPr>
          <w:trHeight w:val="247"/>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Размер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1</w:t>
            </w:r>
            <w:r w:rsidR="008D281B" w:rsidRPr="003D429C">
              <w:rPr>
                <w:rFonts w:ascii="Times New Roman" w:hAnsi="Times New Roman" w:cs="Times New Roman"/>
                <w:sz w:val="24"/>
                <w:szCs w:val="24"/>
              </w:rPr>
              <w:t>0</w:t>
            </w:r>
          </w:p>
        </w:tc>
      </w:tr>
      <w:tr w:rsidR="00000523" w:rsidRPr="003D429C">
        <w:trPr>
          <w:trHeight w:val="3547"/>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sz w:val="24"/>
                <w:szCs w:val="24"/>
              </w:rPr>
            </w:pPr>
            <w:r w:rsidRPr="003D429C">
              <w:rPr>
                <w:rFonts w:ascii="Times New Roman" w:hAnsi="Times New Roman" w:cs="Times New Roman"/>
                <w:sz w:val="24"/>
                <w:szCs w:val="24"/>
              </w:rPr>
              <w:t xml:space="preserve">Порядок внесения </w:t>
            </w:r>
          </w:p>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 возврата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Задаток в размере 10% от начальной цены в конкретном периоде публичного предложения должен быть зачислен на р/с ООО «БАРЭКС» ИНН 7706728644 КПП 771601001 Р/с 40702810200010003455 в ООО «</w:t>
            </w:r>
            <w:proofErr w:type="spellStart"/>
            <w:r w:rsidRPr="003D429C">
              <w:rPr>
                <w:rFonts w:ascii="Times New Roman" w:hAnsi="Times New Roman" w:cs="Times New Roman"/>
                <w:sz w:val="24"/>
                <w:szCs w:val="24"/>
              </w:rPr>
              <w:t>Унифондбанк</w:t>
            </w:r>
            <w:proofErr w:type="spellEnd"/>
            <w:r w:rsidRPr="003D429C">
              <w:rPr>
                <w:rFonts w:ascii="Times New Roman" w:hAnsi="Times New Roman" w:cs="Times New Roman"/>
                <w:sz w:val="24"/>
                <w:szCs w:val="24"/>
              </w:rPr>
              <w:t xml:space="preserve">» БИК </w:t>
            </w:r>
            <w:proofErr w:type="gramStart"/>
            <w:r w:rsidRPr="003D429C">
              <w:rPr>
                <w:rFonts w:ascii="Times New Roman" w:hAnsi="Times New Roman" w:cs="Times New Roman"/>
                <w:sz w:val="24"/>
                <w:szCs w:val="24"/>
              </w:rPr>
              <w:t>044525488 ,</w:t>
            </w:r>
            <w:proofErr w:type="gramEnd"/>
            <w:r w:rsidRPr="003D429C">
              <w:rPr>
                <w:rFonts w:ascii="Times New Roman" w:hAnsi="Times New Roman" w:cs="Times New Roman"/>
                <w:sz w:val="24"/>
                <w:szCs w:val="24"/>
              </w:rPr>
              <w:t xml:space="preserve"> К/с № 30101810945250000488 не позднее даты и времени начала приема заявок на участие в торгах для соответствующего периода проведения торгов.</w:t>
            </w:r>
          </w:p>
        </w:tc>
      </w:tr>
      <w:tr w:rsidR="00000523" w:rsidRPr="003D429C">
        <w:trPr>
          <w:trHeight w:val="2947"/>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Счет для внесения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Задаток в размере 10% от начальной цены в конкретном периоде публичного предложения должен быть зачислен на р/с ООО «БАРЭКС» ИНН 7706728644 КПП 771601001 Р/с 40702810200010003455 в ООО «</w:t>
            </w:r>
            <w:proofErr w:type="spellStart"/>
            <w:r w:rsidRPr="003D429C">
              <w:rPr>
                <w:rFonts w:ascii="Times New Roman" w:hAnsi="Times New Roman" w:cs="Times New Roman"/>
                <w:sz w:val="24"/>
                <w:szCs w:val="24"/>
              </w:rPr>
              <w:t>Унифондбанк</w:t>
            </w:r>
            <w:proofErr w:type="spellEnd"/>
            <w:r w:rsidRPr="003D429C">
              <w:rPr>
                <w:rFonts w:ascii="Times New Roman" w:hAnsi="Times New Roman" w:cs="Times New Roman"/>
                <w:sz w:val="24"/>
                <w:szCs w:val="24"/>
              </w:rPr>
              <w:t xml:space="preserve">» БИК </w:t>
            </w:r>
            <w:proofErr w:type="gramStart"/>
            <w:r w:rsidRPr="003D429C">
              <w:rPr>
                <w:rFonts w:ascii="Times New Roman" w:hAnsi="Times New Roman" w:cs="Times New Roman"/>
                <w:sz w:val="24"/>
                <w:szCs w:val="24"/>
              </w:rPr>
              <w:t>044525488 ,</w:t>
            </w:r>
            <w:proofErr w:type="gramEnd"/>
            <w:r w:rsidRPr="003D429C">
              <w:rPr>
                <w:rFonts w:ascii="Times New Roman" w:hAnsi="Times New Roman" w:cs="Times New Roman"/>
                <w:sz w:val="24"/>
                <w:szCs w:val="24"/>
              </w:rPr>
              <w:t xml:space="preserve"> К/с № 30101810945250000488 не позднее даты и времени начала приема заявок на участие в торгах для соответствующего периода проведения торгов.</w:t>
            </w:r>
          </w:p>
        </w:tc>
      </w:tr>
    </w:tbl>
    <w:p w:rsidR="00000523" w:rsidRDefault="00000523">
      <w:pPr>
        <w:widowControl w:val="0"/>
        <w:spacing w:after="0" w:line="240" w:lineRule="auto"/>
        <w:ind w:firstLine="567"/>
        <w:jc w:val="both"/>
        <w:rPr>
          <w:b/>
          <w:bCs/>
          <w:sz w:val="24"/>
          <w:szCs w:val="24"/>
        </w:rPr>
      </w:pPr>
    </w:p>
    <w:p w:rsidR="00000523" w:rsidRDefault="00000523">
      <w:pPr>
        <w:spacing w:line="240" w:lineRule="auto"/>
        <w:ind w:firstLine="708"/>
        <w:rPr>
          <w:sz w:val="24"/>
          <w:szCs w:val="24"/>
        </w:rPr>
      </w:pPr>
    </w:p>
    <w:p w:rsidR="00000523" w:rsidRDefault="008D281B">
      <w:pPr>
        <w:widowControl w:val="0"/>
        <w:spacing w:line="240" w:lineRule="auto"/>
        <w:ind w:firstLine="708"/>
        <w:rPr>
          <w:b/>
          <w:bCs/>
          <w:sz w:val="24"/>
          <w:szCs w:val="24"/>
        </w:rPr>
      </w:pPr>
      <w:r>
        <w:rPr>
          <w:rFonts w:ascii="Calibri"/>
          <w:b/>
          <w:bCs/>
          <w:sz w:val="24"/>
          <w:szCs w:val="24"/>
        </w:rPr>
        <w:t xml:space="preserve">8. </w:t>
      </w:r>
      <w:r>
        <w:rPr>
          <w:b/>
          <w:bCs/>
          <w:sz w:val="24"/>
          <w:szCs w:val="24"/>
        </w:rPr>
        <w:t>Предложения</w:t>
      </w:r>
    </w:p>
    <w:tbl>
      <w:tblPr>
        <w:tblStyle w:val="TableNormal"/>
        <w:tblW w:w="963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79"/>
        <w:gridCol w:w="2550"/>
        <w:gridCol w:w="2410"/>
      </w:tblGrid>
      <w:tr w:rsidR="00000523">
        <w:trPr>
          <w:trHeight w:val="674"/>
        </w:trPr>
        <w:tc>
          <w:tcPr>
            <w:tcW w:w="4679" w:type="dxa"/>
            <w:tcBorders>
              <w:top w:val="nil"/>
              <w:left w:val="nil"/>
              <w:bottom w:val="nil"/>
              <w:right w:val="nil"/>
            </w:tcBorders>
            <w:shd w:val="clear" w:color="auto" w:fill="auto"/>
            <w:tcMar>
              <w:top w:w="80" w:type="dxa"/>
              <w:left w:w="80" w:type="dxa"/>
              <w:bottom w:w="80" w:type="dxa"/>
              <w:right w:w="80" w:type="dxa"/>
            </w:tcMar>
            <w:vAlign w:val="center"/>
          </w:tcPr>
          <w:p w:rsidR="00000523" w:rsidRDefault="008D281B">
            <w:pPr>
              <w:spacing w:after="0" w:line="240" w:lineRule="auto"/>
              <w:jc w:val="center"/>
            </w:pPr>
            <w:r>
              <w:rPr>
                <w:b/>
                <w:bCs/>
              </w:rPr>
              <w:t>Наименование</w:t>
            </w:r>
            <w:r>
              <w:rPr>
                <w:b/>
                <w:bCs/>
              </w:rPr>
              <w:t xml:space="preserve"> </w:t>
            </w:r>
            <w:r>
              <w:rPr>
                <w:b/>
                <w:bCs/>
              </w:rPr>
              <w:t>участника</w:t>
            </w:r>
            <w:r>
              <w:rPr>
                <w:b/>
                <w:bCs/>
              </w:rPr>
              <w:t xml:space="preserve"> </w:t>
            </w:r>
            <w:r>
              <w:rPr>
                <w:b/>
                <w:bCs/>
              </w:rPr>
              <w:t>лота</w:t>
            </w:r>
            <w:r>
              <w:rPr>
                <w:b/>
                <w:bCs/>
              </w:rPr>
              <w:t xml:space="preserve"> </w:t>
            </w:r>
            <w:r>
              <w:rPr>
                <w:b/>
                <w:bCs/>
              </w:rPr>
              <w:t>аукциона</w:t>
            </w:r>
          </w:p>
        </w:tc>
        <w:tc>
          <w:tcPr>
            <w:tcW w:w="2550" w:type="dxa"/>
            <w:tcBorders>
              <w:top w:val="nil"/>
              <w:left w:val="nil"/>
              <w:bottom w:val="nil"/>
              <w:right w:val="nil"/>
            </w:tcBorders>
            <w:shd w:val="clear" w:color="auto" w:fill="auto"/>
            <w:tcMar>
              <w:top w:w="80" w:type="dxa"/>
              <w:left w:w="80" w:type="dxa"/>
              <w:bottom w:w="80" w:type="dxa"/>
              <w:right w:w="80" w:type="dxa"/>
            </w:tcMar>
            <w:vAlign w:val="center"/>
          </w:tcPr>
          <w:p w:rsidR="00000523" w:rsidRDefault="008D281B">
            <w:pPr>
              <w:spacing w:after="0" w:line="240" w:lineRule="auto"/>
              <w:jc w:val="center"/>
            </w:pPr>
            <w:r>
              <w:rPr>
                <w:b/>
                <w:bCs/>
              </w:rPr>
              <w:t>Место</w:t>
            </w:r>
            <w:r>
              <w:rPr>
                <w:b/>
                <w:bCs/>
              </w:rPr>
              <w:t xml:space="preserve"> </w:t>
            </w:r>
            <w:r>
              <w:rPr>
                <w:b/>
                <w:bCs/>
              </w:rPr>
              <w:t>нахождения</w:t>
            </w:r>
          </w:p>
        </w:tc>
        <w:tc>
          <w:tcPr>
            <w:tcW w:w="2410" w:type="dxa"/>
            <w:tcBorders>
              <w:top w:val="nil"/>
              <w:left w:val="nil"/>
              <w:bottom w:val="nil"/>
              <w:right w:val="nil"/>
            </w:tcBorders>
            <w:shd w:val="clear" w:color="auto" w:fill="auto"/>
            <w:tcMar>
              <w:top w:w="80" w:type="dxa"/>
              <w:left w:w="80" w:type="dxa"/>
              <w:bottom w:w="80" w:type="dxa"/>
              <w:right w:w="80" w:type="dxa"/>
            </w:tcMar>
            <w:vAlign w:val="center"/>
          </w:tcPr>
          <w:p w:rsidR="00000523" w:rsidRDefault="008D281B">
            <w:pPr>
              <w:spacing w:after="0" w:line="240" w:lineRule="auto"/>
              <w:jc w:val="center"/>
            </w:pPr>
            <w:r>
              <w:rPr>
                <w:b/>
                <w:bCs/>
              </w:rPr>
              <w:t>Цена</w:t>
            </w:r>
            <w:r>
              <w:rPr>
                <w:rFonts w:ascii="Calibri"/>
                <w:b/>
                <w:bCs/>
              </w:rPr>
              <w:t xml:space="preserve">, </w:t>
            </w:r>
            <w:r>
              <w:rPr>
                <w:b/>
                <w:bCs/>
              </w:rPr>
              <w:t>предложенная</w:t>
            </w:r>
            <w:r>
              <w:rPr>
                <w:b/>
                <w:bCs/>
              </w:rPr>
              <w:t xml:space="preserve"> </w:t>
            </w:r>
            <w:r>
              <w:rPr>
                <w:b/>
                <w:bCs/>
              </w:rPr>
              <w:t>участником</w:t>
            </w:r>
          </w:p>
        </w:tc>
      </w:tr>
      <w:tr w:rsidR="00C663CA">
        <w:trPr>
          <w:trHeight w:val="471"/>
        </w:trPr>
        <w:tc>
          <w:tcPr>
            <w:tcW w:w="4679" w:type="dxa"/>
            <w:tcBorders>
              <w:top w:val="nil"/>
              <w:left w:val="nil"/>
              <w:bottom w:val="nil"/>
              <w:right w:val="nil"/>
            </w:tcBorders>
            <w:shd w:val="clear" w:color="auto" w:fill="auto"/>
            <w:tcMar>
              <w:top w:w="80" w:type="dxa"/>
              <w:left w:w="80" w:type="dxa"/>
              <w:bottom w:w="80" w:type="dxa"/>
              <w:right w:w="80" w:type="dxa"/>
            </w:tcMar>
            <w:vAlign w:val="center"/>
          </w:tcPr>
          <w:p w:rsidR="00C663CA" w:rsidRPr="009F7BA3" w:rsidRDefault="00C663CA" w:rsidP="00C663CA">
            <w:pPr>
              <w:spacing w:after="0" w:line="240" w:lineRule="auto"/>
              <w:jc w:val="center"/>
              <w:rPr>
                <w:rFonts w:ascii="Times New Roman" w:hAnsi="Times New Roman" w:cs="Times New Roman"/>
              </w:rPr>
            </w:pPr>
            <w:r w:rsidRPr="009F7BA3">
              <w:rPr>
                <w:rFonts w:ascii="Times New Roman" w:hAnsi="Times New Roman" w:cs="Times New Roman"/>
              </w:rPr>
              <w:t>ООО "ПБК"</w:t>
            </w:r>
          </w:p>
        </w:tc>
        <w:tc>
          <w:tcPr>
            <w:tcW w:w="2550" w:type="dxa"/>
            <w:tcBorders>
              <w:top w:val="nil"/>
              <w:left w:val="nil"/>
              <w:bottom w:val="nil"/>
              <w:right w:val="nil"/>
            </w:tcBorders>
            <w:shd w:val="clear" w:color="auto" w:fill="auto"/>
            <w:tcMar>
              <w:top w:w="80" w:type="dxa"/>
              <w:left w:w="80" w:type="dxa"/>
              <w:bottom w:w="80" w:type="dxa"/>
              <w:right w:w="80" w:type="dxa"/>
            </w:tcMar>
            <w:vAlign w:val="center"/>
          </w:tcPr>
          <w:p w:rsidR="00C663CA" w:rsidRPr="00C663CA" w:rsidRDefault="00C663CA" w:rsidP="00C663CA">
            <w:pPr>
              <w:spacing w:after="120" w:line="240" w:lineRule="auto"/>
              <w:ind w:firstLine="35"/>
              <w:jc w:val="center"/>
              <w:rPr>
                <w:rFonts w:ascii="Times New Roman" w:hAnsi="Times New Roman" w:cs="Times New Roman"/>
              </w:rPr>
            </w:pPr>
            <w:r w:rsidRPr="00C663CA">
              <w:rPr>
                <w:rFonts w:ascii="Times New Roman" w:hAnsi="Times New Roman" w:cs="Times New Roman"/>
              </w:rPr>
              <w:t>119021, Москва, Зубовский буль</w:t>
            </w:r>
            <w:r>
              <w:rPr>
                <w:rFonts w:ascii="Times New Roman" w:hAnsi="Times New Roman" w:cs="Times New Roman"/>
              </w:rPr>
              <w:t>в</w:t>
            </w:r>
            <w:r w:rsidRPr="00C663CA">
              <w:rPr>
                <w:rFonts w:ascii="Times New Roman" w:hAnsi="Times New Roman" w:cs="Times New Roman"/>
              </w:rPr>
              <w:t>ар</w:t>
            </w:r>
            <w:r>
              <w:rPr>
                <w:rFonts w:ascii="Times New Roman" w:hAnsi="Times New Roman" w:cs="Times New Roman"/>
              </w:rPr>
              <w:t>,</w:t>
            </w:r>
            <w:r w:rsidRPr="00C663CA">
              <w:rPr>
                <w:rFonts w:ascii="Times New Roman" w:hAnsi="Times New Roman" w:cs="Times New Roman"/>
              </w:rPr>
              <w:t xml:space="preserve"> д21-23</w:t>
            </w:r>
            <w:r w:rsidR="00D2411D" w:rsidRPr="00D2411D">
              <w:rPr>
                <w:rFonts w:ascii="Times New Roman" w:hAnsi="Times New Roman" w:cs="Times New Roman"/>
              </w:rPr>
              <w:t xml:space="preserve"> </w:t>
            </w:r>
            <w:r w:rsidRPr="00C663CA">
              <w:rPr>
                <w:rFonts w:ascii="Times New Roman" w:hAnsi="Times New Roman" w:cs="Times New Roman"/>
              </w:rPr>
              <w:t>стр1</w:t>
            </w:r>
            <w:r w:rsidR="00D2411D" w:rsidRPr="00D2411D">
              <w:rPr>
                <w:rFonts w:ascii="Times New Roman" w:hAnsi="Times New Roman" w:cs="Times New Roman"/>
              </w:rPr>
              <w:t xml:space="preserve"> </w:t>
            </w:r>
            <w:r w:rsidRPr="00C663CA">
              <w:rPr>
                <w:rFonts w:ascii="Times New Roman" w:hAnsi="Times New Roman" w:cs="Times New Roman"/>
              </w:rPr>
              <w:t>пом1</w:t>
            </w:r>
            <w:r w:rsidR="00D2411D" w:rsidRPr="00D2411D">
              <w:rPr>
                <w:rFonts w:ascii="Times New Roman" w:hAnsi="Times New Roman" w:cs="Times New Roman"/>
              </w:rPr>
              <w:t xml:space="preserve"> </w:t>
            </w:r>
            <w:r w:rsidRPr="00C663CA">
              <w:rPr>
                <w:rFonts w:ascii="Times New Roman" w:hAnsi="Times New Roman" w:cs="Times New Roman"/>
              </w:rPr>
              <w:t>ком15</w:t>
            </w:r>
            <w:bookmarkStart w:id="0" w:name="_GoBack"/>
            <w:bookmarkEnd w:id="0"/>
          </w:p>
        </w:tc>
        <w:tc>
          <w:tcPr>
            <w:tcW w:w="2410" w:type="dxa"/>
            <w:tcBorders>
              <w:top w:val="nil"/>
              <w:left w:val="nil"/>
              <w:bottom w:val="nil"/>
              <w:right w:val="nil"/>
            </w:tcBorders>
            <w:shd w:val="clear" w:color="auto" w:fill="auto"/>
            <w:tcMar>
              <w:top w:w="80" w:type="dxa"/>
              <w:left w:w="80" w:type="dxa"/>
              <w:bottom w:w="80" w:type="dxa"/>
              <w:right w:w="80" w:type="dxa"/>
            </w:tcMar>
            <w:vAlign w:val="center"/>
          </w:tcPr>
          <w:p w:rsidR="00C663CA" w:rsidRDefault="00C663CA" w:rsidP="00C663CA">
            <w:pPr>
              <w:spacing w:after="120" w:line="240" w:lineRule="auto"/>
              <w:ind w:firstLine="35"/>
              <w:jc w:val="center"/>
            </w:pPr>
            <w:r w:rsidRPr="00C663CA">
              <w:rPr>
                <w:rFonts w:ascii="Calibri"/>
                <w:b/>
                <w:bCs/>
                <w:sz w:val="24"/>
                <w:szCs w:val="24"/>
              </w:rPr>
              <w:t>6</w:t>
            </w:r>
            <w:r>
              <w:rPr>
                <w:rFonts w:ascii="Calibri"/>
                <w:b/>
                <w:bCs/>
                <w:sz w:val="24"/>
                <w:szCs w:val="24"/>
              </w:rPr>
              <w:t xml:space="preserve"> </w:t>
            </w:r>
            <w:r w:rsidRPr="00C663CA">
              <w:rPr>
                <w:rFonts w:ascii="Calibri"/>
                <w:b/>
                <w:bCs/>
                <w:sz w:val="24"/>
                <w:szCs w:val="24"/>
              </w:rPr>
              <w:t>400</w:t>
            </w:r>
            <w:r>
              <w:rPr>
                <w:rFonts w:ascii="Calibri"/>
                <w:b/>
                <w:bCs/>
                <w:sz w:val="24"/>
                <w:szCs w:val="24"/>
              </w:rPr>
              <w:t xml:space="preserve"> </w:t>
            </w:r>
            <w:r w:rsidRPr="00C663CA">
              <w:rPr>
                <w:rFonts w:ascii="Calibri"/>
                <w:b/>
                <w:bCs/>
                <w:sz w:val="24"/>
                <w:szCs w:val="24"/>
              </w:rPr>
              <w:t>642,34</w:t>
            </w:r>
            <w:r>
              <w:rPr>
                <w:rFonts w:ascii="Calibri"/>
                <w:b/>
                <w:bCs/>
                <w:sz w:val="24"/>
                <w:szCs w:val="24"/>
              </w:rPr>
              <w:t xml:space="preserve"> </w:t>
            </w:r>
            <w:r>
              <w:rPr>
                <w:b/>
                <w:bCs/>
                <w:sz w:val="24"/>
                <w:szCs w:val="24"/>
              </w:rPr>
              <w:t>руб</w:t>
            </w:r>
            <w:r>
              <w:rPr>
                <w:rFonts w:ascii="Calibri"/>
                <w:b/>
                <w:bCs/>
                <w:sz w:val="24"/>
                <w:szCs w:val="24"/>
              </w:rPr>
              <w:t>.</w:t>
            </w:r>
          </w:p>
        </w:tc>
      </w:tr>
    </w:tbl>
    <w:p w:rsidR="00000523" w:rsidRDefault="00000523" w:rsidP="00C663CA">
      <w:pPr>
        <w:widowControl w:val="0"/>
        <w:spacing w:line="240" w:lineRule="auto"/>
        <w:rPr>
          <w:b/>
          <w:bCs/>
          <w:sz w:val="24"/>
          <w:szCs w:val="24"/>
        </w:rPr>
      </w:pPr>
    </w:p>
    <w:p w:rsidR="00000523" w:rsidRDefault="00000523">
      <w:pPr>
        <w:spacing w:after="120" w:line="240" w:lineRule="auto"/>
        <w:rPr>
          <w:sz w:val="24"/>
          <w:szCs w:val="24"/>
        </w:rPr>
      </w:pPr>
    </w:p>
    <w:p w:rsidR="00000523" w:rsidRPr="00C663CA" w:rsidRDefault="008D281B">
      <w:pPr>
        <w:spacing w:after="0" w:line="240" w:lineRule="auto"/>
        <w:ind w:firstLine="567"/>
        <w:jc w:val="both"/>
        <w:rPr>
          <w:rFonts w:ascii="Times New Roman" w:hAnsi="Times New Roman" w:cs="Times New Roman"/>
          <w:sz w:val="24"/>
          <w:szCs w:val="24"/>
        </w:rPr>
      </w:pPr>
      <w:r w:rsidRPr="00C663CA">
        <w:rPr>
          <w:rFonts w:ascii="Times New Roman" w:hAnsi="Times New Roman" w:cs="Times New Roman"/>
          <w:sz w:val="24"/>
          <w:szCs w:val="24"/>
        </w:rPr>
        <w:t xml:space="preserve">Покупателем лота № </w:t>
      </w:r>
      <w:r w:rsidR="00C663CA" w:rsidRPr="00C663CA">
        <w:rPr>
          <w:rFonts w:ascii="Times New Roman" w:hAnsi="Times New Roman" w:cs="Times New Roman"/>
          <w:sz w:val="24"/>
          <w:szCs w:val="24"/>
        </w:rPr>
        <w:t>3</w:t>
      </w:r>
      <w:r w:rsidRPr="00C663CA">
        <w:rPr>
          <w:rFonts w:ascii="Times New Roman" w:hAnsi="Times New Roman" w:cs="Times New Roman"/>
          <w:sz w:val="24"/>
          <w:szCs w:val="24"/>
        </w:rPr>
        <w:t xml:space="preserve">, реализованного на открытом аукционе в форме публичного предложения по продаже имущества должника </w:t>
      </w:r>
      <w:r w:rsidR="00C663CA" w:rsidRPr="00C663CA">
        <w:rPr>
          <w:rFonts w:ascii="Times New Roman" w:hAnsi="Times New Roman" w:cs="Times New Roman"/>
          <w:sz w:val="24"/>
          <w:szCs w:val="24"/>
        </w:rPr>
        <w:t>ОБЩЕСТВО С ОГРАНИЧЕННОЙ ОТВЕТСТВЕННОСТЬЮ "ВНЕШПРОМЛИЗИНГ"</w:t>
      </w:r>
      <w:r w:rsidRPr="00C663CA">
        <w:rPr>
          <w:rFonts w:ascii="Times New Roman" w:hAnsi="Times New Roman" w:cs="Times New Roman"/>
          <w:sz w:val="24"/>
          <w:szCs w:val="24"/>
        </w:rPr>
        <w:t xml:space="preserve"> является </w:t>
      </w:r>
      <w:r w:rsidR="00C663CA" w:rsidRPr="00C663CA">
        <w:rPr>
          <w:rFonts w:ascii="Times New Roman" w:hAnsi="Times New Roman" w:cs="Times New Roman"/>
          <w:sz w:val="24"/>
          <w:szCs w:val="24"/>
        </w:rPr>
        <w:t>ООО "ПБК"</w:t>
      </w:r>
      <w:r w:rsidRPr="00C663CA">
        <w:rPr>
          <w:rFonts w:ascii="Times New Roman" w:hAnsi="Times New Roman" w:cs="Times New Roman"/>
          <w:sz w:val="24"/>
          <w:szCs w:val="24"/>
        </w:rPr>
        <w:t xml:space="preserve">, зарегистрировавший заявку на приобретение лота № </w:t>
      </w:r>
      <w:r w:rsidR="00C663CA" w:rsidRPr="00C663CA">
        <w:rPr>
          <w:rFonts w:ascii="Times New Roman" w:hAnsi="Times New Roman" w:cs="Times New Roman"/>
          <w:sz w:val="24"/>
          <w:szCs w:val="24"/>
        </w:rPr>
        <w:t>3</w:t>
      </w:r>
      <w:r w:rsidRPr="00C663CA">
        <w:rPr>
          <w:rFonts w:ascii="Times New Roman" w:hAnsi="Times New Roman" w:cs="Times New Roman"/>
          <w:sz w:val="24"/>
          <w:szCs w:val="24"/>
        </w:rPr>
        <w:t xml:space="preserve"> по цене – </w:t>
      </w:r>
      <w:r w:rsidR="00C663CA" w:rsidRPr="00C663CA">
        <w:rPr>
          <w:rFonts w:ascii="Times New Roman" w:hAnsi="Times New Roman" w:cs="Times New Roman"/>
          <w:b/>
          <w:bCs/>
          <w:sz w:val="24"/>
          <w:szCs w:val="24"/>
        </w:rPr>
        <w:t xml:space="preserve">6 400 642,34 </w:t>
      </w:r>
      <w:r w:rsidRPr="00C663CA">
        <w:rPr>
          <w:rFonts w:ascii="Times New Roman" w:hAnsi="Times New Roman" w:cs="Times New Roman"/>
          <w:b/>
          <w:bCs/>
          <w:sz w:val="24"/>
          <w:szCs w:val="24"/>
        </w:rPr>
        <w:t>руб.</w:t>
      </w:r>
    </w:p>
    <w:p w:rsidR="00000523" w:rsidRDefault="00000523">
      <w:pPr>
        <w:spacing w:after="0" w:line="240" w:lineRule="auto"/>
        <w:ind w:firstLine="567"/>
        <w:jc w:val="both"/>
        <w:rPr>
          <w:sz w:val="24"/>
          <w:szCs w:val="24"/>
        </w:rPr>
      </w:pPr>
    </w:p>
    <w:p w:rsidR="00000523" w:rsidRDefault="008D281B">
      <w:pPr>
        <w:spacing w:after="0" w:line="240" w:lineRule="auto"/>
        <w:ind w:firstLine="567"/>
        <w:jc w:val="both"/>
        <w:rPr>
          <w:sz w:val="24"/>
          <w:szCs w:val="24"/>
        </w:rPr>
      </w:pPr>
      <w:r>
        <w:rPr>
          <w:sz w:val="24"/>
          <w:szCs w:val="24"/>
        </w:rPr>
        <w:t>Настоящий</w:t>
      </w:r>
      <w:r>
        <w:rPr>
          <w:sz w:val="24"/>
          <w:szCs w:val="24"/>
        </w:rPr>
        <w:t xml:space="preserve"> </w:t>
      </w:r>
      <w:r>
        <w:rPr>
          <w:sz w:val="24"/>
          <w:szCs w:val="24"/>
        </w:rPr>
        <w:t>протокол</w:t>
      </w:r>
      <w:r>
        <w:rPr>
          <w:sz w:val="24"/>
          <w:szCs w:val="24"/>
        </w:rPr>
        <w:t xml:space="preserve"> </w:t>
      </w:r>
      <w:r>
        <w:rPr>
          <w:sz w:val="24"/>
          <w:szCs w:val="24"/>
        </w:rPr>
        <w:t>создан</w:t>
      </w:r>
      <w:r>
        <w:rPr>
          <w:sz w:val="24"/>
          <w:szCs w:val="24"/>
        </w:rPr>
        <w:t xml:space="preserve"> </w:t>
      </w:r>
      <w:r>
        <w:rPr>
          <w:sz w:val="24"/>
          <w:szCs w:val="24"/>
        </w:rPr>
        <w:t>в</w:t>
      </w:r>
      <w:r>
        <w:rPr>
          <w:sz w:val="24"/>
          <w:szCs w:val="24"/>
        </w:rPr>
        <w:t xml:space="preserve"> </w:t>
      </w:r>
      <w:r>
        <w:rPr>
          <w:sz w:val="24"/>
          <w:szCs w:val="24"/>
        </w:rPr>
        <w:t>электронной</w:t>
      </w:r>
      <w:r>
        <w:rPr>
          <w:sz w:val="24"/>
          <w:szCs w:val="24"/>
        </w:rPr>
        <w:t xml:space="preserve"> </w:t>
      </w:r>
      <w:r>
        <w:rPr>
          <w:sz w:val="24"/>
          <w:szCs w:val="24"/>
        </w:rPr>
        <w:t>форме</w:t>
      </w:r>
      <w:r>
        <w:rPr>
          <w:sz w:val="24"/>
          <w:szCs w:val="24"/>
        </w:rPr>
        <w:t xml:space="preserve"> </w:t>
      </w:r>
      <w:r>
        <w:rPr>
          <w:sz w:val="24"/>
          <w:szCs w:val="24"/>
        </w:rPr>
        <w:t>оператором</w:t>
      </w:r>
      <w:r>
        <w:rPr>
          <w:sz w:val="24"/>
          <w:szCs w:val="24"/>
        </w:rPr>
        <w:t xml:space="preserve"> </w:t>
      </w:r>
      <w:r>
        <w:rPr>
          <w:sz w:val="24"/>
          <w:szCs w:val="24"/>
        </w:rPr>
        <w:t>электронной</w:t>
      </w:r>
      <w:r>
        <w:rPr>
          <w:sz w:val="24"/>
          <w:szCs w:val="24"/>
        </w:rPr>
        <w:t xml:space="preserve"> </w:t>
      </w:r>
      <w:r>
        <w:rPr>
          <w:sz w:val="24"/>
          <w:szCs w:val="24"/>
        </w:rPr>
        <w:t>площадки</w:t>
      </w:r>
      <w:r>
        <w:rPr>
          <w:sz w:val="24"/>
          <w:szCs w:val="24"/>
        </w:rPr>
        <w:t xml:space="preserve"> </w:t>
      </w:r>
      <w:r>
        <w:rPr>
          <w:sz w:val="24"/>
          <w:szCs w:val="24"/>
        </w:rPr>
        <w:t>ООО</w:t>
      </w:r>
      <w:r>
        <w:rPr>
          <w:sz w:val="24"/>
          <w:szCs w:val="24"/>
        </w:rPr>
        <w:t xml:space="preserve"> </w:t>
      </w:r>
      <w:r>
        <w:rPr>
          <w:sz w:val="24"/>
          <w:szCs w:val="24"/>
        </w:rPr>
        <w:t>«Евразийская</w:t>
      </w:r>
      <w:r>
        <w:rPr>
          <w:sz w:val="24"/>
          <w:szCs w:val="24"/>
        </w:rPr>
        <w:t xml:space="preserve"> </w:t>
      </w:r>
      <w:r>
        <w:rPr>
          <w:sz w:val="24"/>
          <w:szCs w:val="24"/>
        </w:rPr>
        <w:t>торговая</w:t>
      </w:r>
      <w:r>
        <w:rPr>
          <w:sz w:val="24"/>
          <w:szCs w:val="24"/>
        </w:rPr>
        <w:t xml:space="preserve"> </w:t>
      </w:r>
      <w:r>
        <w:rPr>
          <w:sz w:val="24"/>
          <w:szCs w:val="24"/>
        </w:rPr>
        <w:t>площадка»</w:t>
      </w:r>
      <w:r>
        <w:rPr>
          <w:rFonts w:ascii="Calibri"/>
          <w:sz w:val="24"/>
          <w:szCs w:val="24"/>
        </w:rPr>
        <w:t xml:space="preserve">. </w:t>
      </w:r>
    </w:p>
    <w:p w:rsidR="00000523" w:rsidRDefault="008D281B">
      <w:pPr>
        <w:spacing w:after="0" w:line="240" w:lineRule="auto"/>
        <w:ind w:firstLine="708"/>
        <w:jc w:val="both"/>
        <w:rPr>
          <w:sz w:val="24"/>
          <w:szCs w:val="24"/>
        </w:rPr>
      </w:pPr>
      <w:r>
        <w:rPr>
          <w:sz w:val="24"/>
          <w:szCs w:val="24"/>
        </w:rPr>
        <w:t>Протокол</w:t>
      </w:r>
      <w:r>
        <w:rPr>
          <w:sz w:val="24"/>
          <w:szCs w:val="24"/>
        </w:rPr>
        <w:t xml:space="preserve"> </w:t>
      </w:r>
      <w:r>
        <w:rPr>
          <w:sz w:val="24"/>
          <w:szCs w:val="24"/>
        </w:rPr>
        <w:t>о</w:t>
      </w:r>
      <w:r>
        <w:rPr>
          <w:sz w:val="24"/>
          <w:szCs w:val="24"/>
        </w:rPr>
        <w:t xml:space="preserve"> </w:t>
      </w:r>
      <w:r>
        <w:rPr>
          <w:sz w:val="24"/>
          <w:szCs w:val="24"/>
        </w:rPr>
        <w:t>результатах</w:t>
      </w:r>
      <w:r>
        <w:rPr>
          <w:sz w:val="24"/>
          <w:szCs w:val="24"/>
        </w:rPr>
        <w:t xml:space="preserve"> </w:t>
      </w:r>
      <w:r>
        <w:rPr>
          <w:sz w:val="24"/>
          <w:szCs w:val="24"/>
        </w:rPr>
        <w:t>проведения</w:t>
      </w:r>
      <w:r>
        <w:rPr>
          <w:sz w:val="24"/>
          <w:szCs w:val="24"/>
        </w:rPr>
        <w:t xml:space="preserve"> </w:t>
      </w:r>
      <w:r>
        <w:rPr>
          <w:sz w:val="24"/>
          <w:szCs w:val="24"/>
        </w:rPr>
        <w:t>открытых</w:t>
      </w:r>
      <w:r>
        <w:rPr>
          <w:sz w:val="24"/>
          <w:szCs w:val="24"/>
        </w:rPr>
        <w:t xml:space="preserve"> </w:t>
      </w:r>
      <w:r>
        <w:rPr>
          <w:sz w:val="24"/>
          <w:szCs w:val="24"/>
        </w:rPr>
        <w:t>торгов</w:t>
      </w:r>
      <w:r>
        <w:rPr>
          <w:sz w:val="24"/>
          <w:szCs w:val="24"/>
        </w:rPr>
        <w:t xml:space="preserve"> </w:t>
      </w:r>
      <w:r>
        <w:rPr>
          <w:sz w:val="24"/>
          <w:szCs w:val="24"/>
        </w:rPr>
        <w:t>размещается</w:t>
      </w:r>
      <w:r>
        <w:rPr>
          <w:sz w:val="24"/>
          <w:szCs w:val="24"/>
        </w:rPr>
        <w:t xml:space="preserve"> </w:t>
      </w:r>
      <w:r>
        <w:rPr>
          <w:sz w:val="24"/>
          <w:szCs w:val="24"/>
        </w:rPr>
        <w:t>оператором</w:t>
      </w:r>
      <w:r>
        <w:rPr>
          <w:sz w:val="24"/>
          <w:szCs w:val="24"/>
        </w:rPr>
        <w:t xml:space="preserve"> </w:t>
      </w:r>
      <w:r>
        <w:rPr>
          <w:sz w:val="24"/>
          <w:szCs w:val="24"/>
        </w:rPr>
        <w:t>электронной</w:t>
      </w:r>
      <w:r>
        <w:rPr>
          <w:sz w:val="24"/>
          <w:szCs w:val="24"/>
        </w:rPr>
        <w:t xml:space="preserve"> </w:t>
      </w:r>
      <w:r>
        <w:rPr>
          <w:sz w:val="24"/>
          <w:szCs w:val="24"/>
        </w:rPr>
        <w:t>торговой</w:t>
      </w:r>
      <w:r>
        <w:rPr>
          <w:sz w:val="24"/>
          <w:szCs w:val="24"/>
        </w:rPr>
        <w:t xml:space="preserve"> </w:t>
      </w:r>
      <w:r>
        <w:rPr>
          <w:sz w:val="24"/>
          <w:szCs w:val="24"/>
        </w:rPr>
        <w:t>площадки</w:t>
      </w:r>
      <w:r>
        <w:rPr>
          <w:sz w:val="24"/>
          <w:szCs w:val="24"/>
        </w:rPr>
        <w:t xml:space="preserve"> </w:t>
      </w:r>
      <w:r>
        <w:rPr>
          <w:sz w:val="24"/>
          <w:szCs w:val="24"/>
        </w:rPr>
        <w:t>на</w:t>
      </w:r>
      <w:r>
        <w:rPr>
          <w:sz w:val="24"/>
          <w:szCs w:val="24"/>
        </w:rPr>
        <w:t xml:space="preserve"> </w:t>
      </w:r>
      <w:r>
        <w:rPr>
          <w:sz w:val="24"/>
          <w:szCs w:val="24"/>
        </w:rPr>
        <w:t>электронной</w:t>
      </w:r>
      <w:r>
        <w:rPr>
          <w:sz w:val="24"/>
          <w:szCs w:val="24"/>
        </w:rPr>
        <w:t xml:space="preserve"> </w:t>
      </w:r>
      <w:r>
        <w:rPr>
          <w:sz w:val="24"/>
          <w:szCs w:val="24"/>
        </w:rPr>
        <w:t>торговой</w:t>
      </w:r>
      <w:r>
        <w:rPr>
          <w:sz w:val="24"/>
          <w:szCs w:val="24"/>
        </w:rPr>
        <w:t xml:space="preserve"> </w:t>
      </w:r>
      <w:r>
        <w:rPr>
          <w:sz w:val="24"/>
          <w:szCs w:val="24"/>
        </w:rPr>
        <w:t>площадке</w:t>
      </w:r>
      <w:r>
        <w:rPr>
          <w:rFonts w:ascii="Calibri"/>
          <w:sz w:val="24"/>
          <w:szCs w:val="24"/>
        </w:rPr>
        <w:t xml:space="preserve">, </w:t>
      </w:r>
      <w:r>
        <w:rPr>
          <w:sz w:val="24"/>
          <w:szCs w:val="24"/>
        </w:rPr>
        <w:t>а</w:t>
      </w:r>
      <w:r>
        <w:rPr>
          <w:sz w:val="24"/>
          <w:szCs w:val="24"/>
        </w:rPr>
        <w:t xml:space="preserve"> </w:t>
      </w:r>
      <w:r>
        <w:rPr>
          <w:sz w:val="24"/>
          <w:szCs w:val="24"/>
        </w:rPr>
        <w:t>также</w:t>
      </w:r>
      <w:r>
        <w:rPr>
          <w:sz w:val="24"/>
          <w:szCs w:val="24"/>
        </w:rPr>
        <w:t xml:space="preserve"> </w:t>
      </w:r>
      <w:r>
        <w:rPr>
          <w:sz w:val="24"/>
          <w:szCs w:val="24"/>
        </w:rPr>
        <w:t>в</w:t>
      </w:r>
      <w:r>
        <w:rPr>
          <w:sz w:val="24"/>
          <w:szCs w:val="24"/>
        </w:rPr>
        <w:t xml:space="preserve"> </w:t>
      </w:r>
      <w:r>
        <w:rPr>
          <w:sz w:val="24"/>
          <w:szCs w:val="24"/>
        </w:rPr>
        <w:t>Едином</w:t>
      </w:r>
      <w:r>
        <w:rPr>
          <w:sz w:val="24"/>
          <w:szCs w:val="24"/>
        </w:rPr>
        <w:t xml:space="preserve"> </w:t>
      </w:r>
      <w:r>
        <w:rPr>
          <w:sz w:val="24"/>
          <w:szCs w:val="24"/>
        </w:rPr>
        <w:t>федеральном</w:t>
      </w:r>
      <w:r>
        <w:rPr>
          <w:sz w:val="24"/>
          <w:szCs w:val="24"/>
        </w:rPr>
        <w:t xml:space="preserve"> </w:t>
      </w:r>
      <w:r>
        <w:rPr>
          <w:sz w:val="24"/>
          <w:szCs w:val="24"/>
        </w:rPr>
        <w:t>реестре</w:t>
      </w:r>
      <w:r>
        <w:rPr>
          <w:sz w:val="24"/>
          <w:szCs w:val="24"/>
        </w:rPr>
        <w:t xml:space="preserve"> </w:t>
      </w:r>
      <w:r>
        <w:rPr>
          <w:sz w:val="24"/>
          <w:szCs w:val="24"/>
        </w:rPr>
        <w:t>сведений</w:t>
      </w:r>
      <w:r>
        <w:rPr>
          <w:sz w:val="24"/>
          <w:szCs w:val="24"/>
        </w:rPr>
        <w:t xml:space="preserve"> </w:t>
      </w:r>
      <w:r>
        <w:rPr>
          <w:sz w:val="24"/>
          <w:szCs w:val="24"/>
        </w:rPr>
        <w:t>о</w:t>
      </w:r>
      <w:r>
        <w:rPr>
          <w:sz w:val="24"/>
          <w:szCs w:val="24"/>
        </w:rPr>
        <w:t xml:space="preserve"> </w:t>
      </w:r>
      <w:r>
        <w:rPr>
          <w:sz w:val="24"/>
          <w:szCs w:val="24"/>
        </w:rPr>
        <w:t>банкротстве</w:t>
      </w:r>
      <w:r>
        <w:rPr>
          <w:rFonts w:ascii="Calibri"/>
          <w:sz w:val="24"/>
          <w:szCs w:val="24"/>
        </w:rPr>
        <w:t>.</w:t>
      </w:r>
    </w:p>
    <w:p w:rsidR="00000523" w:rsidRDefault="008D281B">
      <w:pPr>
        <w:spacing w:after="0" w:line="240" w:lineRule="auto"/>
        <w:ind w:firstLine="567"/>
        <w:jc w:val="both"/>
        <w:rPr>
          <w:sz w:val="24"/>
          <w:szCs w:val="24"/>
        </w:rPr>
      </w:pPr>
      <w:r>
        <w:rPr>
          <w:sz w:val="24"/>
          <w:szCs w:val="24"/>
        </w:rPr>
        <w:t>Настоящий</w:t>
      </w:r>
      <w:r>
        <w:rPr>
          <w:sz w:val="24"/>
          <w:szCs w:val="24"/>
        </w:rPr>
        <w:t xml:space="preserve"> </w:t>
      </w:r>
      <w:r>
        <w:rPr>
          <w:sz w:val="24"/>
          <w:szCs w:val="24"/>
        </w:rPr>
        <w:t>протокол</w:t>
      </w:r>
      <w:r>
        <w:rPr>
          <w:sz w:val="24"/>
          <w:szCs w:val="24"/>
        </w:rPr>
        <w:t xml:space="preserve"> </w:t>
      </w:r>
      <w:r>
        <w:rPr>
          <w:sz w:val="24"/>
          <w:szCs w:val="24"/>
        </w:rPr>
        <w:t>подлежит</w:t>
      </w:r>
      <w:r>
        <w:rPr>
          <w:sz w:val="24"/>
          <w:szCs w:val="24"/>
        </w:rPr>
        <w:t xml:space="preserve"> </w:t>
      </w:r>
      <w:r>
        <w:rPr>
          <w:sz w:val="24"/>
          <w:szCs w:val="24"/>
        </w:rPr>
        <w:t>хранению</w:t>
      </w:r>
      <w:r>
        <w:rPr>
          <w:sz w:val="24"/>
          <w:szCs w:val="24"/>
        </w:rPr>
        <w:t xml:space="preserve"> </w:t>
      </w:r>
      <w:r>
        <w:rPr>
          <w:sz w:val="24"/>
          <w:szCs w:val="24"/>
        </w:rPr>
        <w:t>на</w:t>
      </w:r>
      <w:r>
        <w:rPr>
          <w:sz w:val="24"/>
          <w:szCs w:val="24"/>
        </w:rPr>
        <w:t xml:space="preserve"> </w:t>
      </w:r>
      <w:r>
        <w:rPr>
          <w:sz w:val="24"/>
          <w:szCs w:val="24"/>
        </w:rPr>
        <w:t>ЭТП</w:t>
      </w:r>
      <w:r>
        <w:rPr>
          <w:sz w:val="24"/>
          <w:szCs w:val="24"/>
        </w:rPr>
        <w:t xml:space="preserve"> </w:t>
      </w:r>
      <w:r>
        <w:rPr>
          <w:sz w:val="24"/>
          <w:szCs w:val="24"/>
        </w:rPr>
        <w:t>в</w:t>
      </w:r>
      <w:r>
        <w:rPr>
          <w:sz w:val="24"/>
          <w:szCs w:val="24"/>
        </w:rPr>
        <w:t xml:space="preserve"> </w:t>
      </w:r>
      <w:r>
        <w:rPr>
          <w:sz w:val="24"/>
          <w:szCs w:val="24"/>
        </w:rPr>
        <w:t>течение</w:t>
      </w:r>
      <w:r>
        <w:rPr>
          <w:sz w:val="24"/>
          <w:szCs w:val="24"/>
        </w:rPr>
        <w:t xml:space="preserve"> </w:t>
      </w:r>
      <w:r>
        <w:rPr>
          <w:rFonts w:ascii="Calibri"/>
          <w:sz w:val="24"/>
          <w:szCs w:val="24"/>
        </w:rPr>
        <w:t>10 (</w:t>
      </w:r>
      <w:r>
        <w:rPr>
          <w:sz w:val="24"/>
          <w:szCs w:val="24"/>
        </w:rPr>
        <w:t>десяти</w:t>
      </w:r>
      <w:r>
        <w:rPr>
          <w:rFonts w:ascii="Calibri"/>
          <w:sz w:val="24"/>
          <w:szCs w:val="24"/>
        </w:rPr>
        <w:t xml:space="preserve">) </w:t>
      </w:r>
      <w:r>
        <w:rPr>
          <w:sz w:val="24"/>
          <w:szCs w:val="24"/>
        </w:rPr>
        <w:t>лет</w:t>
      </w:r>
      <w:r>
        <w:rPr>
          <w:sz w:val="24"/>
          <w:szCs w:val="24"/>
        </w:rPr>
        <w:t xml:space="preserve"> </w:t>
      </w:r>
      <w:r>
        <w:rPr>
          <w:sz w:val="24"/>
          <w:szCs w:val="24"/>
        </w:rPr>
        <w:t>с</w:t>
      </w:r>
      <w:r>
        <w:rPr>
          <w:sz w:val="24"/>
          <w:szCs w:val="24"/>
        </w:rPr>
        <w:t xml:space="preserve"> </w:t>
      </w:r>
      <w:r>
        <w:rPr>
          <w:sz w:val="24"/>
          <w:szCs w:val="24"/>
        </w:rPr>
        <w:t>даты</w:t>
      </w:r>
      <w:r>
        <w:rPr>
          <w:sz w:val="24"/>
          <w:szCs w:val="24"/>
        </w:rPr>
        <w:t xml:space="preserve"> </w:t>
      </w:r>
      <w:r>
        <w:rPr>
          <w:sz w:val="24"/>
          <w:szCs w:val="24"/>
        </w:rPr>
        <w:t>проведения</w:t>
      </w:r>
      <w:r>
        <w:rPr>
          <w:sz w:val="24"/>
          <w:szCs w:val="24"/>
        </w:rPr>
        <w:t xml:space="preserve"> </w:t>
      </w:r>
      <w:r>
        <w:rPr>
          <w:sz w:val="24"/>
          <w:szCs w:val="24"/>
        </w:rPr>
        <w:t>настоящего</w:t>
      </w:r>
      <w:r>
        <w:rPr>
          <w:sz w:val="24"/>
          <w:szCs w:val="24"/>
        </w:rPr>
        <w:t xml:space="preserve"> </w:t>
      </w:r>
      <w:r>
        <w:rPr>
          <w:sz w:val="24"/>
          <w:szCs w:val="24"/>
        </w:rPr>
        <w:t>аукциона</w:t>
      </w:r>
      <w:r>
        <w:rPr>
          <w:rFonts w:ascii="Calibri"/>
          <w:sz w:val="24"/>
          <w:szCs w:val="24"/>
        </w:rPr>
        <w:t>.</w:t>
      </w:r>
      <w:r>
        <w:rPr>
          <w:sz w:val="24"/>
          <w:szCs w:val="24"/>
        </w:rPr>
        <w:t> </w:t>
      </w:r>
    </w:p>
    <w:p w:rsidR="00000523" w:rsidRDefault="008D281B">
      <w:pPr>
        <w:spacing w:after="0" w:line="240" w:lineRule="auto"/>
        <w:ind w:firstLine="567"/>
        <w:jc w:val="both"/>
        <w:rPr>
          <w:sz w:val="24"/>
          <w:szCs w:val="24"/>
        </w:rPr>
      </w:pPr>
      <w:r>
        <w:rPr>
          <w:sz w:val="24"/>
          <w:szCs w:val="24"/>
        </w:rPr>
        <w:t>Протокол</w:t>
      </w:r>
      <w:r>
        <w:rPr>
          <w:sz w:val="24"/>
          <w:szCs w:val="24"/>
        </w:rPr>
        <w:t xml:space="preserve"> </w:t>
      </w:r>
      <w:r>
        <w:rPr>
          <w:sz w:val="24"/>
          <w:szCs w:val="24"/>
        </w:rPr>
        <w:t>подписан</w:t>
      </w:r>
      <w:r>
        <w:rPr>
          <w:sz w:val="24"/>
          <w:szCs w:val="24"/>
        </w:rPr>
        <w:t xml:space="preserve"> </w:t>
      </w:r>
      <w:r>
        <w:rPr>
          <w:sz w:val="24"/>
          <w:szCs w:val="24"/>
        </w:rPr>
        <w:t>организатором</w:t>
      </w:r>
      <w:r>
        <w:rPr>
          <w:sz w:val="24"/>
          <w:szCs w:val="24"/>
        </w:rPr>
        <w:t xml:space="preserve"> </w:t>
      </w:r>
      <w:r>
        <w:rPr>
          <w:sz w:val="24"/>
          <w:szCs w:val="24"/>
        </w:rPr>
        <w:t>торгов</w:t>
      </w:r>
      <w:r>
        <w:rPr>
          <w:rFonts w:ascii="Calibri"/>
          <w:sz w:val="24"/>
          <w:szCs w:val="24"/>
        </w:rPr>
        <w:t>:</w:t>
      </w:r>
    </w:p>
    <w:p w:rsidR="00000523" w:rsidRDefault="00000523">
      <w:pPr>
        <w:jc w:val="center"/>
        <w:rPr>
          <w:b/>
          <w:bCs/>
          <w:sz w:val="24"/>
          <w:szCs w:val="24"/>
        </w:rPr>
      </w:pPr>
    </w:p>
    <w:p w:rsidR="00000523" w:rsidRDefault="00000523">
      <w:pPr>
        <w:jc w:val="center"/>
      </w:pPr>
    </w:p>
    <w:sectPr w:rsidR="00000523">
      <w:headerReference w:type="default" r:id="rId6"/>
      <w:footerReference w:type="default" r:id="rId7"/>
      <w:headerReference w:type="first" r:id="rId8"/>
      <w:footerReference w:type="first" r:id="rId9"/>
      <w:pgSz w:w="11900" w:h="16840"/>
      <w:pgMar w:top="851" w:right="851" w:bottom="851"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1ED7" w:rsidRDefault="00E91ED7">
      <w:pPr>
        <w:spacing w:after="0" w:line="240" w:lineRule="auto"/>
      </w:pPr>
      <w:r>
        <w:separator/>
      </w:r>
    </w:p>
  </w:endnote>
  <w:endnote w:type="continuationSeparator" w:id="0">
    <w:p w:rsidR="00E91ED7" w:rsidRDefault="00E91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523" w:rsidRDefault="0000052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523" w:rsidRDefault="0000052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1ED7" w:rsidRDefault="00E91ED7">
      <w:pPr>
        <w:spacing w:after="0" w:line="240" w:lineRule="auto"/>
      </w:pPr>
      <w:r>
        <w:separator/>
      </w:r>
    </w:p>
  </w:footnote>
  <w:footnote w:type="continuationSeparator" w:id="0">
    <w:p w:rsidR="00E91ED7" w:rsidRDefault="00E91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523" w:rsidRDefault="008D281B">
    <w:pPr>
      <w:pStyle w:val="a4"/>
      <w:tabs>
        <w:tab w:val="clear" w:pos="4677"/>
        <w:tab w:val="clear" w:pos="9355"/>
      </w:tabs>
      <w:spacing w:line="360" w:lineRule="auto"/>
      <w:jc w:val="right"/>
    </w:pPr>
    <w:r>
      <w:rPr>
        <w:b/>
        <w:bCs/>
        <w:i/>
        <w:iCs/>
        <w:sz w:val="24"/>
        <w:szCs w:val="24"/>
      </w:rPr>
      <w:fldChar w:fldCharType="begin"/>
    </w:r>
    <w:r>
      <w:rPr>
        <w:b/>
        <w:bCs/>
        <w:i/>
        <w:iCs/>
        <w:sz w:val="24"/>
        <w:szCs w:val="24"/>
      </w:rPr>
      <w:instrText xml:space="preserve"> PAGE </w:instrText>
    </w:r>
    <w:r>
      <w:rPr>
        <w:b/>
        <w:bCs/>
        <w:i/>
        <w:iCs/>
        <w:sz w:val="24"/>
        <w:szCs w:val="24"/>
      </w:rPr>
      <w:fldChar w:fldCharType="separate"/>
    </w:r>
    <w:r w:rsidR="00D2411D">
      <w:rPr>
        <w:b/>
        <w:bCs/>
        <w:i/>
        <w:iCs/>
        <w:noProof/>
        <w:sz w:val="24"/>
        <w:szCs w:val="24"/>
      </w:rPr>
      <w:t>7</w:t>
    </w:r>
    <w:r>
      <w:rPr>
        <w:b/>
        <w:bCs/>
        <w:i/>
        <w:iCs/>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523" w:rsidRDefault="0000052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523"/>
    <w:rsid w:val="00000523"/>
    <w:rsid w:val="000540D3"/>
    <w:rsid w:val="003D429C"/>
    <w:rsid w:val="008D281B"/>
    <w:rsid w:val="00A4027F"/>
    <w:rsid w:val="00C663CA"/>
    <w:rsid w:val="00D2411D"/>
    <w:rsid w:val="00E91E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504E8"/>
  <w15:docId w15:val="{29A02844-0D30-40D7-AC53-E19F9B91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pacing w:after="200" w:line="276" w:lineRule="auto"/>
    </w:pPr>
    <w:rPr>
      <w:rFonts w:ascii="Arial Unicode MS"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header"/>
    <w:pPr>
      <w:tabs>
        <w:tab w:val="center" w:pos="4677"/>
        <w:tab w:val="right" w:pos="9355"/>
      </w:tabs>
    </w:pPr>
    <w:rPr>
      <w:rFonts w:ascii="Calibri" w:hAnsi="Arial Unicode MS" w:cs="Arial Unicode MS"/>
      <w:color w:val="000000"/>
      <w:sz w:val="22"/>
      <w:szCs w:val="22"/>
      <w:u w:color="000000"/>
    </w:rPr>
  </w:style>
  <w:style w:type="paragraph" w:customStyle="1" w:styleId="a5">
    <w:name w:val="Колонтитулы"/>
    <w:pPr>
      <w:tabs>
        <w:tab w:val="right" w:pos="9020"/>
      </w:tabs>
    </w:pPr>
    <w:rPr>
      <w:rFonts w:ascii="Helvetica" w:hAnsi="Arial Unicode MS" w:cs="Arial Unicode MS"/>
      <w:color w:val="000000"/>
      <w:sz w:val="24"/>
      <w:szCs w:val="24"/>
    </w:rPr>
  </w:style>
  <w:style w:type="paragraph" w:styleId="a6">
    <w:name w:val="List Paragraph"/>
    <w:pPr>
      <w:spacing w:after="200" w:line="276" w:lineRule="auto"/>
      <w:ind w:left="720"/>
    </w:pPr>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338294">
      <w:bodyDiv w:val="1"/>
      <w:marLeft w:val="0"/>
      <w:marRight w:val="0"/>
      <w:marTop w:val="0"/>
      <w:marBottom w:val="0"/>
      <w:divBdr>
        <w:top w:val="none" w:sz="0" w:space="0" w:color="auto"/>
        <w:left w:val="none" w:sz="0" w:space="0" w:color="auto"/>
        <w:bottom w:val="none" w:sz="0" w:space="0" w:color="auto"/>
        <w:right w:val="none" w:sz="0" w:space="0" w:color="auto"/>
      </w:divBdr>
    </w:div>
    <w:div w:id="359014109">
      <w:bodyDiv w:val="1"/>
      <w:marLeft w:val="0"/>
      <w:marRight w:val="0"/>
      <w:marTop w:val="0"/>
      <w:marBottom w:val="0"/>
      <w:divBdr>
        <w:top w:val="none" w:sz="0" w:space="0" w:color="auto"/>
        <w:left w:val="none" w:sz="0" w:space="0" w:color="auto"/>
        <w:bottom w:val="none" w:sz="0" w:space="0" w:color="auto"/>
        <w:right w:val="none" w:sz="0" w:space="0" w:color="auto"/>
      </w:divBdr>
    </w:div>
    <w:div w:id="406002470">
      <w:bodyDiv w:val="1"/>
      <w:marLeft w:val="0"/>
      <w:marRight w:val="0"/>
      <w:marTop w:val="0"/>
      <w:marBottom w:val="0"/>
      <w:divBdr>
        <w:top w:val="none" w:sz="0" w:space="0" w:color="auto"/>
        <w:left w:val="none" w:sz="0" w:space="0" w:color="auto"/>
        <w:bottom w:val="none" w:sz="0" w:space="0" w:color="auto"/>
        <w:right w:val="none" w:sz="0" w:space="0" w:color="auto"/>
      </w:divBdr>
    </w:div>
    <w:div w:id="584072443">
      <w:bodyDiv w:val="1"/>
      <w:marLeft w:val="0"/>
      <w:marRight w:val="0"/>
      <w:marTop w:val="0"/>
      <w:marBottom w:val="0"/>
      <w:divBdr>
        <w:top w:val="none" w:sz="0" w:space="0" w:color="auto"/>
        <w:left w:val="none" w:sz="0" w:space="0" w:color="auto"/>
        <w:bottom w:val="none" w:sz="0" w:space="0" w:color="auto"/>
        <w:right w:val="none" w:sz="0" w:space="0" w:color="auto"/>
      </w:divBdr>
    </w:div>
    <w:div w:id="681669377">
      <w:bodyDiv w:val="1"/>
      <w:marLeft w:val="0"/>
      <w:marRight w:val="0"/>
      <w:marTop w:val="0"/>
      <w:marBottom w:val="0"/>
      <w:divBdr>
        <w:top w:val="none" w:sz="0" w:space="0" w:color="auto"/>
        <w:left w:val="none" w:sz="0" w:space="0" w:color="auto"/>
        <w:bottom w:val="none" w:sz="0" w:space="0" w:color="auto"/>
        <w:right w:val="none" w:sz="0" w:space="0" w:color="auto"/>
      </w:divBdr>
    </w:div>
    <w:div w:id="745615428">
      <w:bodyDiv w:val="1"/>
      <w:marLeft w:val="0"/>
      <w:marRight w:val="0"/>
      <w:marTop w:val="0"/>
      <w:marBottom w:val="0"/>
      <w:divBdr>
        <w:top w:val="none" w:sz="0" w:space="0" w:color="auto"/>
        <w:left w:val="none" w:sz="0" w:space="0" w:color="auto"/>
        <w:bottom w:val="none" w:sz="0" w:space="0" w:color="auto"/>
        <w:right w:val="none" w:sz="0" w:space="0" w:color="auto"/>
      </w:divBdr>
    </w:div>
    <w:div w:id="841159818">
      <w:bodyDiv w:val="1"/>
      <w:marLeft w:val="0"/>
      <w:marRight w:val="0"/>
      <w:marTop w:val="0"/>
      <w:marBottom w:val="0"/>
      <w:divBdr>
        <w:top w:val="none" w:sz="0" w:space="0" w:color="auto"/>
        <w:left w:val="none" w:sz="0" w:space="0" w:color="auto"/>
        <w:bottom w:val="none" w:sz="0" w:space="0" w:color="auto"/>
        <w:right w:val="none" w:sz="0" w:space="0" w:color="auto"/>
      </w:divBdr>
    </w:div>
    <w:div w:id="1110930948">
      <w:bodyDiv w:val="1"/>
      <w:marLeft w:val="0"/>
      <w:marRight w:val="0"/>
      <w:marTop w:val="0"/>
      <w:marBottom w:val="0"/>
      <w:divBdr>
        <w:top w:val="none" w:sz="0" w:space="0" w:color="auto"/>
        <w:left w:val="none" w:sz="0" w:space="0" w:color="auto"/>
        <w:bottom w:val="none" w:sz="0" w:space="0" w:color="auto"/>
        <w:right w:val="none" w:sz="0" w:space="0" w:color="auto"/>
      </w:divBdr>
    </w:div>
    <w:div w:id="1112283816">
      <w:bodyDiv w:val="1"/>
      <w:marLeft w:val="0"/>
      <w:marRight w:val="0"/>
      <w:marTop w:val="0"/>
      <w:marBottom w:val="0"/>
      <w:divBdr>
        <w:top w:val="none" w:sz="0" w:space="0" w:color="auto"/>
        <w:left w:val="none" w:sz="0" w:space="0" w:color="auto"/>
        <w:bottom w:val="none" w:sz="0" w:space="0" w:color="auto"/>
        <w:right w:val="none" w:sz="0" w:space="0" w:color="auto"/>
      </w:divBdr>
    </w:div>
    <w:div w:id="1138911934">
      <w:bodyDiv w:val="1"/>
      <w:marLeft w:val="0"/>
      <w:marRight w:val="0"/>
      <w:marTop w:val="0"/>
      <w:marBottom w:val="0"/>
      <w:divBdr>
        <w:top w:val="none" w:sz="0" w:space="0" w:color="auto"/>
        <w:left w:val="none" w:sz="0" w:space="0" w:color="auto"/>
        <w:bottom w:val="none" w:sz="0" w:space="0" w:color="auto"/>
        <w:right w:val="none" w:sz="0" w:space="0" w:color="auto"/>
      </w:divBdr>
    </w:div>
    <w:div w:id="1166432830">
      <w:bodyDiv w:val="1"/>
      <w:marLeft w:val="0"/>
      <w:marRight w:val="0"/>
      <w:marTop w:val="0"/>
      <w:marBottom w:val="0"/>
      <w:divBdr>
        <w:top w:val="none" w:sz="0" w:space="0" w:color="auto"/>
        <w:left w:val="none" w:sz="0" w:space="0" w:color="auto"/>
        <w:bottom w:val="none" w:sz="0" w:space="0" w:color="auto"/>
        <w:right w:val="none" w:sz="0" w:space="0" w:color="auto"/>
      </w:divBdr>
    </w:div>
    <w:div w:id="1224029447">
      <w:bodyDiv w:val="1"/>
      <w:marLeft w:val="0"/>
      <w:marRight w:val="0"/>
      <w:marTop w:val="0"/>
      <w:marBottom w:val="0"/>
      <w:divBdr>
        <w:top w:val="none" w:sz="0" w:space="0" w:color="auto"/>
        <w:left w:val="none" w:sz="0" w:space="0" w:color="auto"/>
        <w:bottom w:val="none" w:sz="0" w:space="0" w:color="auto"/>
        <w:right w:val="none" w:sz="0" w:space="0" w:color="auto"/>
      </w:divBdr>
    </w:div>
    <w:div w:id="1224758364">
      <w:bodyDiv w:val="1"/>
      <w:marLeft w:val="0"/>
      <w:marRight w:val="0"/>
      <w:marTop w:val="0"/>
      <w:marBottom w:val="0"/>
      <w:divBdr>
        <w:top w:val="none" w:sz="0" w:space="0" w:color="auto"/>
        <w:left w:val="none" w:sz="0" w:space="0" w:color="auto"/>
        <w:bottom w:val="none" w:sz="0" w:space="0" w:color="auto"/>
        <w:right w:val="none" w:sz="0" w:space="0" w:color="auto"/>
      </w:divBdr>
    </w:div>
    <w:div w:id="1260524375">
      <w:bodyDiv w:val="1"/>
      <w:marLeft w:val="0"/>
      <w:marRight w:val="0"/>
      <w:marTop w:val="0"/>
      <w:marBottom w:val="0"/>
      <w:divBdr>
        <w:top w:val="none" w:sz="0" w:space="0" w:color="auto"/>
        <w:left w:val="none" w:sz="0" w:space="0" w:color="auto"/>
        <w:bottom w:val="none" w:sz="0" w:space="0" w:color="auto"/>
        <w:right w:val="none" w:sz="0" w:space="0" w:color="auto"/>
      </w:divBdr>
    </w:div>
    <w:div w:id="1403798549">
      <w:bodyDiv w:val="1"/>
      <w:marLeft w:val="0"/>
      <w:marRight w:val="0"/>
      <w:marTop w:val="0"/>
      <w:marBottom w:val="0"/>
      <w:divBdr>
        <w:top w:val="none" w:sz="0" w:space="0" w:color="auto"/>
        <w:left w:val="none" w:sz="0" w:space="0" w:color="auto"/>
        <w:bottom w:val="none" w:sz="0" w:space="0" w:color="auto"/>
        <w:right w:val="none" w:sz="0" w:space="0" w:color="auto"/>
      </w:divBdr>
    </w:div>
    <w:div w:id="1427924548">
      <w:bodyDiv w:val="1"/>
      <w:marLeft w:val="0"/>
      <w:marRight w:val="0"/>
      <w:marTop w:val="0"/>
      <w:marBottom w:val="0"/>
      <w:divBdr>
        <w:top w:val="none" w:sz="0" w:space="0" w:color="auto"/>
        <w:left w:val="none" w:sz="0" w:space="0" w:color="auto"/>
        <w:bottom w:val="none" w:sz="0" w:space="0" w:color="auto"/>
        <w:right w:val="none" w:sz="0" w:space="0" w:color="auto"/>
      </w:divBdr>
    </w:div>
    <w:div w:id="1526794981">
      <w:bodyDiv w:val="1"/>
      <w:marLeft w:val="0"/>
      <w:marRight w:val="0"/>
      <w:marTop w:val="0"/>
      <w:marBottom w:val="0"/>
      <w:divBdr>
        <w:top w:val="none" w:sz="0" w:space="0" w:color="auto"/>
        <w:left w:val="none" w:sz="0" w:space="0" w:color="auto"/>
        <w:bottom w:val="none" w:sz="0" w:space="0" w:color="auto"/>
        <w:right w:val="none" w:sz="0" w:space="0" w:color="auto"/>
      </w:divBdr>
    </w:div>
    <w:div w:id="1613129624">
      <w:bodyDiv w:val="1"/>
      <w:marLeft w:val="0"/>
      <w:marRight w:val="0"/>
      <w:marTop w:val="0"/>
      <w:marBottom w:val="0"/>
      <w:divBdr>
        <w:top w:val="none" w:sz="0" w:space="0" w:color="auto"/>
        <w:left w:val="none" w:sz="0" w:space="0" w:color="auto"/>
        <w:bottom w:val="none" w:sz="0" w:space="0" w:color="auto"/>
        <w:right w:val="none" w:sz="0" w:space="0" w:color="auto"/>
      </w:divBdr>
    </w:div>
    <w:div w:id="1652296211">
      <w:bodyDiv w:val="1"/>
      <w:marLeft w:val="0"/>
      <w:marRight w:val="0"/>
      <w:marTop w:val="0"/>
      <w:marBottom w:val="0"/>
      <w:divBdr>
        <w:top w:val="none" w:sz="0" w:space="0" w:color="auto"/>
        <w:left w:val="none" w:sz="0" w:space="0" w:color="auto"/>
        <w:bottom w:val="none" w:sz="0" w:space="0" w:color="auto"/>
        <w:right w:val="none" w:sz="0" w:space="0" w:color="auto"/>
      </w:divBdr>
    </w:div>
    <w:div w:id="1698655226">
      <w:bodyDiv w:val="1"/>
      <w:marLeft w:val="0"/>
      <w:marRight w:val="0"/>
      <w:marTop w:val="0"/>
      <w:marBottom w:val="0"/>
      <w:divBdr>
        <w:top w:val="none" w:sz="0" w:space="0" w:color="auto"/>
        <w:left w:val="none" w:sz="0" w:space="0" w:color="auto"/>
        <w:bottom w:val="none" w:sz="0" w:space="0" w:color="auto"/>
        <w:right w:val="none" w:sz="0" w:space="0" w:color="auto"/>
      </w:divBdr>
    </w:div>
    <w:div w:id="1735010988">
      <w:bodyDiv w:val="1"/>
      <w:marLeft w:val="0"/>
      <w:marRight w:val="0"/>
      <w:marTop w:val="0"/>
      <w:marBottom w:val="0"/>
      <w:divBdr>
        <w:top w:val="none" w:sz="0" w:space="0" w:color="auto"/>
        <w:left w:val="none" w:sz="0" w:space="0" w:color="auto"/>
        <w:bottom w:val="none" w:sz="0" w:space="0" w:color="auto"/>
        <w:right w:val="none" w:sz="0" w:space="0" w:color="auto"/>
      </w:divBdr>
    </w:div>
    <w:div w:id="1760559993">
      <w:bodyDiv w:val="1"/>
      <w:marLeft w:val="0"/>
      <w:marRight w:val="0"/>
      <w:marTop w:val="0"/>
      <w:marBottom w:val="0"/>
      <w:divBdr>
        <w:top w:val="none" w:sz="0" w:space="0" w:color="auto"/>
        <w:left w:val="none" w:sz="0" w:space="0" w:color="auto"/>
        <w:bottom w:val="none" w:sz="0" w:space="0" w:color="auto"/>
        <w:right w:val="none" w:sz="0" w:space="0" w:color="auto"/>
      </w:divBdr>
    </w:div>
    <w:div w:id="1910773033">
      <w:bodyDiv w:val="1"/>
      <w:marLeft w:val="0"/>
      <w:marRight w:val="0"/>
      <w:marTop w:val="0"/>
      <w:marBottom w:val="0"/>
      <w:divBdr>
        <w:top w:val="none" w:sz="0" w:space="0" w:color="auto"/>
        <w:left w:val="none" w:sz="0" w:space="0" w:color="auto"/>
        <w:bottom w:val="none" w:sz="0" w:space="0" w:color="auto"/>
        <w:right w:val="none" w:sz="0" w:space="0" w:color="auto"/>
      </w:divBdr>
    </w:div>
    <w:div w:id="2145658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1466</Words>
  <Characters>8362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Константин Потапов</cp:lastModifiedBy>
  <cp:revision>4</cp:revision>
  <dcterms:created xsi:type="dcterms:W3CDTF">2018-01-30T12:05:00Z</dcterms:created>
  <dcterms:modified xsi:type="dcterms:W3CDTF">2018-01-30T12:17:00Z</dcterms:modified>
</cp:coreProperties>
</file>