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Обычный"/>
        <w:jc w:val="center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в форме публичного предложения № 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60</w:t>
      </w: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 xml:space="preserve"> от 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1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5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.08.2017</w:t>
      </w: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г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Абзац списка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ind w:left="594" w:right="0" w:hanging="234"/>
        <w:jc w:val="left"/>
        <w:rPr>
          <w:rFonts w:ascii="Arial" w:cs="Arial" w:hAnsi="Arial" w:eastAsia="Arial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rFonts w:ascii="Arial"/>
          <w:b w:val="1"/>
          <w:bCs w:val="1"/>
          <w:sz w:val="24"/>
          <w:szCs w:val="24"/>
          <w:rtl w:val="0"/>
          <w:lang w:val="ru-RU"/>
        </w:rPr>
        <w:t>/</w:t>
      </w: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об открытом аукционе в форме публичного предложения</w:t>
      </w:r>
    </w:p>
    <w:tbl>
      <w:tblPr>
        <w:tblW w:w="93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318"/>
        <w:gridCol w:w="7021"/>
      </w:tblGrid>
      <w:tr>
        <w:tblPrEx>
          <w:shd w:val="clear" w:color="auto" w:fill="auto"/>
        </w:tblPrEx>
        <w:trPr>
          <w:trHeight w:val="36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Поля</w:t>
            </w:r>
          </w:p>
        </w:tc>
        <w:tc>
          <w:tcPr>
            <w:tcW w:type="dxa" w:w="7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auto"/>
        </w:tblPrEx>
        <w:trPr>
          <w:trHeight w:val="132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auto"/>
        </w:tblPrEx>
        <w:trPr>
          <w:trHeight w:val="98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7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Муниципального унитарного предприятия «Городские дороги плюс»</w:t>
            </w:r>
          </w:p>
        </w:tc>
      </w:tr>
      <w:tr>
        <w:tblPrEx>
          <w:shd w:val="clear" w:color="auto" w:fill="auto"/>
        </w:tblPrEx>
        <w:trPr>
          <w:trHeight w:val="65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rFonts w:ascii="Arial Unicode MS"/>
                <w:sz w:val="24"/>
                <w:szCs w:val="24"/>
                <w:rtl w:val="0"/>
              </w:rPr>
              <w:t>-</w:t>
            </w:r>
          </w:p>
        </w:tc>
      </w:tr>
      <w:tr>
        <w:tblPrEx>
          <w:shd w:val="clear" w:color="auto" w:fill="auto"/>
        </w:tblPrEx>
        <w:trPr>
          <w:trHeight w:val="225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Победитель торгов определяется в порядке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предусмотренном п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139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ФЗ «О несостоятельности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Итоги торгов оформляются протоколом о результатах проведения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который утверждается организатором торгов и размещается на электронной площадке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Подведение результатов торгов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10.10.2016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18:00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ч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адресу 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Садовая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 341.</w:t>
            </w:r>
          </w:p>
        </w:tc>
      </w:tr>
      <w:tr>
        <w:tblPrEx>
          <w:shd w:val="clear" w:color="auto" w:fill="auto"/>
        </w:tblPrEx>
        <w:trPr>
          <w:trHeight w:val="673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Место проведения торгов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Евразийская торговая площадка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далее ЭТП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в сети «Интернет»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http://eurtp.ru.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Заявка на участие в торгах подается оператору ЭТП в форме электронного документа и принимается с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00:00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ч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10.07.2017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до определения победителя или достижения цены отсечения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14.08.2017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оформленная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том числе в части приложенных документов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соответствии со ст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ФЗ «О несостоятельности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» и приказом Минэкономразвития России от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23.07.2015 N 495.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прилагаемые к заявке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 о внесении задатка с отметкой банка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договор о задатке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физических лиц – копия паспорта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копия ИНН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юридических лиц – копии документов о государственной регистрации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копия ИНН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выписка из ЕГРЮЛ не старше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дней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решение органов управления юр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лица о совершении крупной сделки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подтверждающие полномочие лица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подписавшего заявку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 участию в торгах допускаются юридические и физические лица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зарегистрировавшиеся на интернет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ресурсе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http://eurtp.ru,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своевременно подавшие заявку с приложением к ней необходимых документов в электронном виде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также своевременно внесшие задаток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00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.07.2017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0:00:00</w:t>
            </w:r>
          </w:p>
        </w:tc>
      </w:tr>
      <w:tr>
        <w:tblPrEx>
          <w:shd w:val="clear" w:color="auto" w:fill="auto"/>
        </w:tblPrEx>
        <w:trPr>
          <w:trHeight w:val="100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.08.2017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59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:00</w:t>
            </w:r>
          </w:p>
        </w:tc>
      </w:tr>
      <w:tr>
        <w:tblPrEx>
          <w:shd w:val="clear" w:color="auto" w:fill="auto"/>
        </w:tblPrEx>
        <w:trPr>
          <w:trHeight w:val="196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rtl w:val="0"/>
                <w:lang w:val="ru-RU"/>
              </w:rPr>
              <w:t>10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.06.2017 0:00:00</w:t>
            </w:r>
          </w:p>
        </w:tc>
      </w:tr>
      <w:tr>
        <w:tblPrEx>
          <w:shd w:val="clear" w:color="auto" w:fill="auto"/>
        </w:tblPrEx>
        <w:trPr>
          <w:trHeight w:val="260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type="dxa" w:w="7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.06.2017 0:00:00</w:t>
            </w:r>
          </w:p>
        </w:tc>
      </w:tr>
      <w:tr>
        <w:tblPrEx>
          <w:shd w:val="clear" w:color="auto" w:fill="auto"/>
        </w:tblPrEx>
        <w:trPr>
          <w:trHeight w:val="1960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.06.2017 0:00:00</w:t>
            </w:r>
          </w:p>
        </w:tc>
      </w:tr>
    </w:tbl>
    <w:p>
      <w:pPr>
        <w:pStyle w:val="Абзац списка"/>
        <w:widowControl w:val="0"/>
        <w:numPr>
          <w:ilvl w:val="0"/>
          <w:numId w:val="4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594" w:right="0" w:hanging="234"/>
        <w:jc w:val="left"/>
        <w:rPr>
          <w:rFonts w:ascii="Arial" w:cs="Arial" w:hAnsi="Arial" w:eastAsia="Arial"/>
          <w:position w:val="0"/>
          <w:sz w:val="24"/>
          <w:szCs w:val="24"/>
          <w:rtl w:val="0"/>
        </w:rPr>
      </w:pPr>
    </w:p>
    <w:p>
      <w:pPr>
        <w:pStyle w:val="Абзац списка"/>
        <w:widowControl w:val="0"/>
        <w:numPr>
          <w:ilvl w:val="0"/>
          <w:numId w:val="7"/>
        </w:numPr>
        <w:tabs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cs="Arial" w:hAnsi="Arial" w:eastAsia="Arial"/>
          <w:position w:val="0"/>
          <w:sz w:val="24"/>
          <w:szCs w:val="24"/>
          <w:rtl w:val="0"/>
        </w:rPr>
      </w:pPr>
    </w:p>
    <w:p>
      <w:pPr>
        <w:pStyle w:val="Абзац списка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0" w:firstLine="0"/>
        <w:rPr>
          <w:rFonts w:ascii="Arial" w:cs="Arial" w:hAnsi="Arial" w:eastAsia="Arial"/>
          <w:sz w:val="24"/>
          <w:szCs w:val="24"/>
        </w:rPr>
      </w:pPr>
    </w:p>
    <w:p>
      <w:pPr>
        <w:pStyle w:val="Абзац списка"/>
        <w:spacing w:line="240" w:lineRule="auto"/>
        <w:ind w:left="1068" w:firstLine="0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10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594" w:right="0" w:hanging="234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64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165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Виклеос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76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6450054230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hAnsi="Calibri" w:hint="default"/>
                <w:rtl w:val="0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76" w:lineRule="auto"/>
            </w:pPr>
            <w:r>
              <w:rPr>
                <w:rFonts w:ascii="Arial Unicode MS"/>
                <w:rtl w:val="0"/>
              </w:rPr>
              <w:t>1116450016320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76" w:lineRule="auto"/>
            </w:pPr>
            <w:hyperlink r:id="rId4" w:history="1">
              <w:r>
                <w:rPr>
                  <w:rStyle w:val="Hyperlink.0"/>
                  <w:rtl w:val="0"/>
                  <w:lang w:val="en-US"/>
                </w:rPr>
                <w:t>d-ezhov@bk.ru</w:t>
              </w:r>
            </w:hyperlink>
          </w:p>
        </w:tc>
      </w:tr>
      <w:tr>
        <w:tblPrEx>
          <w:shd w:val="clear" w:color="auto" w:fill="auto"/>
        </w:tblPrEx>
        <w:trPr>
          <w:trHeight w:val="24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76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8(8452)752603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widowControl w:val="0"/>
        <w:tabs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0" w:right="0" w:firstLine="0"/>
        <w:jc w:val="left"/>
        <w:rPr>
          <w:rFonts w:ascii="Arial" w:cs="Arial" w:hAnsi="Arial" w:eastAsia="Arial"/>
          <w:b w:val="1"/>
          <w:bCs w:val="1"/>
          <w:sz w:val="24"/>
          <w:szCs w:val="24"/>
          <w:rtl w:val="0"/>
        </w:rPr>
      </w:pPr>
    </w:p>
    <w:p>
      <w:pPr>
        <w:pStyle w:val="Абзац списка"/>
        <w:widowControl w:val="0"/>
        <w:numPr>
          <w:ilvl w:val="0"/>
          <w:numId w:val="1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594" w:right="0" w:hanging="234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34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74"/>
        <w:gridCol w:w="4675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165" w:lineRule="atLeast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Кручинин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Алексей Сергеевич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645209999307</w:t>
            </w:r>
          </w:p>
        </w:tc>
      </w:tr>
      <w:tr>
        <w:tblPrEx>
          <w:shd w:val="clear" w:color="auto" w:fill="auto"/>
        </w:tblPrEx>
        <w:trPr>
          <w:trHeight w:val="5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САМРО «Асоциация антикризисных арбитражных управлящих»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9617</w:t>
            </w:r>
          </w:p>
        </w:tc>
      </w:tr>
    </w:tbl>
    <w:p>
      <w:pPr>
        <w:pStyle w:val="Абзац списка"/>
        <w:widowControl w:val="0"/>
        <w:numPr>
          <w:ilvl w:val="0"/>
          <w:numId w:val="14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594" w:right="0" w:hanging="234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1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594" w:right="0" w:hanging="234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Саратовской области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57-6255/2014</w:t>
            </w:r>
          </w:p>
        </w:tc>
      </w:tr>
      <w:tr>
        <w:tblPrEx>
          <w:shd w:val="clear" w:color="auto" w:fill="auto"/>
        </w:tblPrEx>
        <w:trPr>
          <w:trHeight w:val="96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продажи имущества утвержден Арбитражным судом Саратовской области</w:t>
            </w:r>
          </w:p>
        </w:tc>
      </w:tr>
    </w:tbl>
    <w:p>
      <w:pPr>
        <w:pStyle w:val="Абзац списка"/>
        <w:widowControl w:val="0"/>
        <w:numPr>
          <w:ilvl w:val="0"/>
          <w:numId w:val="18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594" w:right="0" w:hanging="234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</w:p>
    <w:p>
      <w:pPr>
        <w:pStyle w:val="Абзац списка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0" w:firstLine="0"/>
        <w:rPr>
          <w:rFonts w:ascii="Arial" w:cs="Arial" w:hAnsi="Arial" w:eastAsia="Arial"/>
          <w:b w:val="1"/>
          <w:bCs w:val="1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21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594" w:right="0" w:hanging="234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34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74"/>
        <w:gridCol w:w="4675"/>
      </w:tblGrid>
      <w:tr>
        <w:tblPrEx>
          <w:shd w:val="clear" w:color="auto" w:fill="auto"/>
        </w:tblPrEx>
        <w:trPr>
          <w:trHeight w:val="64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Муниципальное унитарное предприятие</w:t>
            </w:r>
          </w:p>
        </w:tc>
      </w:tr>
      <w:tr>
        <w:tblPrEx>
          <w:shd w:val="clear" w:color="auto" w:fill="auto"/>
        </w:tblPrEx>
        <w:trPr>
          <w:trHeight w:val="64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должника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Муниципальное унитарное предприятие «Городские дороги плюс»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hAnsi="Arial Unicode MS" w:hint="default"/>
                <w:sz w:val="24"/>
                <w:szCs w:val="24"/>
                <w:rtl w:val="0"/>
              </w:rPr>
              <w:t>Краткое наименование должника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hAnsi="Arial Unicode MS" w:hint="default"/>
                <w:rtl w:val="0"/>
              </w:rPr>
              <w:t>МУП «Городские дороги плюс»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6451125148</w:t>
            </w:r>
          </w:p>
        </w:tc>
      </w:tr>
      <w:tr>
        <w:tblPrEx>
          <w:shd w:val="clear" w:color="auto" w:fill="auto"/>
        </w:tblPrEx>
        <w:trPr>
          <w:trHeight w:val="288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Договор купли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заключается в течение пяти дней со дня получения от конкурсного управляющего предложения о заключении договора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случае уклонения от заключения договора задаток не возвращается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 заключении договора купли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сумма внесенного покупателем задатка засчитывается в счет исполнения договора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Абзац списка"/>
        <w:widowControl w:val="0"/>
        <w:numPr>
          <w:ilvl w:val="0"/>
          <w:numId w:val="22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594" w:right="0" w:hanging="234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25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594" w:right="0" w:hanging="234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Дуденков Дмитрий Александрович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88452752603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hyperlink r:id="rId5" w:history="1">
              <w:r>
                <w:rPr>
                  <w:rStyle w:val="Hyperlink.0"/>
                  <w:rtl w:val="0"/>
                  <w:lang w:val="en-US"/>
                </w:rPr>
                <w:t>d-ezhov@bk.ru</w:t>
              </w:r>
            </w:hyperlink>
          </w:p>
        </w:tc>
      </w:tr>
    </w:tbl>
    <w:p>
      <w:pPr>
        <w:pStyle w:val="Абзац списка"/>
        <w:widowControl w:val="0"/>
        <w:numPr>
          <w:ilvl w:val="0"/>
          <w:numId w:val="26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594" w:right="0" w:hanging="234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</w:p>
    <w:p>
      <w:pPr>
        <w:pStyle w:val="Абзац списка"/>
        <w:widowControl w:val="0"/>
        <w:tabs>
          <w:tab w:val="left" w:pos="615"/>
          <w:tab w:val="left" w:pos="638"/>
          <w:tab w:val="left" w:pos="663"/>
          <w:tab w:val="left" w:pos="690"/>
        </w:tabs>
        <w:spacing w:line="240" w:lineRule="auto"/>
        <w:ind w:left="0" w:firstLine="0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Абзац списка"/>
        <w:numPr>
          <w:ilvl w:val="0"/>
          <w:numId w:val="29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bidi w:val="0"/>
        <w:spacing w:line="240" w:lineRule="auto"/>
        <w:ind w:left="594" w:right="0" w:hanging="234"/>
        <w:jc w:val="left"/>
        <w:rPr>
          <w:rFonts w:ascii="Arial" w:cs="Arial" w:hAnsi="Arial" w:eastAsia="Arial"/>
          <w:b w:val="1"/>
          <w:bCs w:val="1"/>
          <w:position w:val="0"/>
          <w:sz w:val="24"/>
          <w:szCs w:val="24"/>
          <w:rtl w:val="0"/>
        </w:rPr>
      </w:pPr>
      <w:r>
        <w:rPr>
          <w:rFonts w:hAnsi="Arial" w:hint="default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 xml:space="preserve">Лот </w:t>
      </w:r>
      <w:r>
        <w:rPr>
          <w:rFonts w:ascii="Arial"/>
          <w:sz w:val="24"/>
          <w:szCs w:val="24"/>
          <w:rtl w:val="0"/>
          <w:lang w:val="ru-RU"/>
        </w:rPr>
        <w:t>1.</w:t>
      </w:r>
    </w:p>
    <w:tbl>
      <w:tblPr>
        <w:tblW w:w="934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74"/>
        <w:gridCol w:w="4675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35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прилагаемые к заявке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 о внесении задатка с отметкой банка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договор о задатке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физических лиц – копия паспорта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копия ИНН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юридических лиц – копии документов о государственной регистрации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копия ИНН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выписка из ЕГРЮЛ не старше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дней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решение органов управления юр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лица о совершении крупной сделки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подтверждающие полномочие лица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подписавшего заявку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4412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Штаб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154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64:48:000000:215751;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Химическая лаборатория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64:48:040211:861;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Водопроводная насосная станция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1, 215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64:48:040211:720;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Здание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туалет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64:48:040211:716;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Контрольно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пропускной пункт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48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64:48:040211:860;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142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64:48:040211:862;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6, 274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64:48:040311:29;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1, 360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64:48:040502:135;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убежище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40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64:48:040311:30;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Пенобудка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Здание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пожарное депо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П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185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64:48:040211:719;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450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64:48:040311:20;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2, 450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Хранилище техники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1296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64:48:040502:142;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Навес техники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440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64:48:040502:141;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Пожарное депо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П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1, 64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имущества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4, 570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Гараж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228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Механическая мастерская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64:48:040311:21;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ГСМ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7, 18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Здание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караульное помещение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1, 87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XVII, 600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XIX, 600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XVIII, 600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64:48:040211:907;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XXVI, 200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64:48:040211:784;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XXVII, 200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XXV, 200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64:48:040211:764;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XXIII, 200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64:48:040502:150;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XXIV, 200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64:48:040502:136;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XX, 200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64:48:040502:151;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XXII, 200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64:48:040502:137;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XXI, 200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XXVIII, 40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XXXII, 40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XXXI, 40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64:48:040211:917;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XXIX, 40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XXX, 40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64:48:040502:146;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Бензобак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XXXIII, 40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64:48:040211:905;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Склад техимущества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5, 280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64:48:040502:145;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Контрольно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технический пункт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1, 35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Казарма солдатская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137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64:48:040211:723;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Заправочная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Ж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39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64:48:040211:722;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Караульное помещение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Ц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64:48:040211:913;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расположенный по адресу 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станция Жасминная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34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33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395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719,23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20</w:t>
            </w:r>
          </w:p>
        </w:tc>
      </w:tr>
      <w:tr>
        <w:tblPrEx>
          <w:shd w:val="clear" w:color="auto" w:fill="auto"/>
        </w:tblPrEx>
        <w:trPr>
          <w:trHeight w:val="416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Задаток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размере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20 %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 начальной цены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должен поступить до окончания периода торгов на котором подается заявка на расчетный счет ООО «Виклеос» 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40702810300880000034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ОАО «СМП Банк» 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Москва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044525503,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30101810545250000503,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назначение платежа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«Задаток по торгам МУП «Городские дороги плюс»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Перечисление задатка без подписанного договора о задатке считается акцептом размещенного на ЭТП договора о задатке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9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расчетный счет ООО «Виклеос» №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40702810300880000034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ОАО «СМП Банк» 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Москва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044525503,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30101810545250000503,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назначение платежа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«Задаток по торгам МУП «Городские дороги плюс»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20</w:t>
            </w:r>
          </w:p>
        </w:tc>
      </w:tr>
    </w:tbl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>Предложения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50"/>
        <w:gridCol w:w="4535"/>
        <w:gridCol w:w="2393"/>
        <w:gridCol w:w="2393"/>
      </w:tblGrid>
      <w:tr>
        <w:tblPrEx>
          <w:shd w:val="clear" w:color="auto" w:fill="auto"/>
        </w:tblPrEx>
        <w:trPr>
          <w:trHeight w:val="2287" w:hRule="atLeast"/>
        </w:trPr>
        <w:tc>
          <w:tcPr>
            <w:tcW w:type="dxa" w:w="2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5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участника лота аукциона</w:t>
            </w:r>
          </w:p>
          <w:p>
            <w:pPr>
              <w:pStyle w:val="Обычный"/>
              <w:spacing w:after="120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</w:p>
          <w:p>
            <w:pPr>
              <w:pStyle w:val="Обычный"/>
              <w:spacing w:line="276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Кулахметова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 Эльмира Ринатовна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Место нахождения</w:t>
            </w:r>
          </w:p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</w:p>
          <w:p>
            <w:pPr>
              <w:pStyle w:val="Обычный"/>
              <w:spacing w:after="120" w:line="240" w:lineRule="auto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проезд Столыпина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дом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предложенная участником</w:t>
            </w:r>
          </w:p>
          <w:p>
            <w:pPr>
              <w:pStyle w:val="Обычный"/>
              <w:spacing w:after="12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</w:p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22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3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000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,00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spacing w:after="120" w:line="240" w:lineRule="auto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 xml:space="preserve">Победителем открытого аукциона в форме публичного предложения по продаже          лота № </w:t>
      </w:r>
      <w:r>
        <w:rPr>
          <w:rFonts w:ascii="Arial"/>
          <w:sz w:val="24"/>
          <w:szCs w:val="24"/>
          <w:rtl w:val="0"/>
          <w:lang w:val="ru-RU"/>
        </w:rPr>
        <w:t xml:space="preserve">1  - </w:t>
      </w:r>
      <w:r>
        <w:rPr>
          <w:rFonts w:hAnsi="Arial" w:hint="default"/>
          <w:sz w:val="24"/>
          <w:szCs w:val="24"/>
          <w:rtl w:val="0"/>
          <w:lang w:val="ru-RU"/>
        </w:rPr>
        <w:t>имущества</w:t>
      </w:r>
      <w:r>
        <w:rPr>
          <w:rFonts w:hAnsi="Arial" w:hint="default"/>
          <w:sz w:val="24"/>
          <w:szCs w:val="24"/>
          <w:rtl w:val="0"/>
          <w:lang w:val="ru-RU"/>
        </w:rPr>
        <w:t xml:space="preserve"> должника</w:t>
      </w:r>
      <w:r>
        <w:rPr>
          <w:rFonts w:hAnsi="Arial" w:hint="default"/>
          <w:sz w:val="24"/>
          <w:szCs w:val="24"/>
          <w:rtl w:val="0"/>
          <w:lang w:val="ru-RU"/>
        </w:rPr>
        <w:t xml:space="preserve"> МУП «Городские дороги плюс» является </w:t>
      </w:r>
      <w:r>
        <w:rPr>
          <w:rtl w:val="0"/>
          <w:lang w:val="ru-RU"/>
        </w:rPr>
        <w:t>Кулахметова</w:t>
      </w:r>
      <w:r>
        <w:rPr>
          <w:rtl w:val="0"/>
          <w:lang w:val="ru-RU"/>
        </w:rPr>
        <w:t xml:space="preserve"> Эльмира Ринатовна</w:t>
      </w:r>
    </w:p>
    <w:p>
      <w:pPr>
        <w:pStyle w:val="Обычный"/>
        <w:widowControl w:val="0"/>
        <w:spacing w:line="240" w:lineRule="auto"/>
        <w:ind w:firstLine="708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>Настоящий протокол создан в электронной форме оператором электронной площадки ООО «Евразийская торговая площадка»</w:t>
      </w:r>
      <w:r>
        <w:rPr>
          <w:rFonts w:ascii="Arial"/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spacing w:line="240" w:lineRule="auto"/>
        <w:rPr>
          <w:rFonts w:ascii="Arial" w:cs="Arial" w:hAnsi="Arial" w:eastAsia="Arial"/>
          <w:sz w:val="24"/>
          <w:szCs w:val="24"/>
        </w:rPr>
      </w:pPr>
      <w:r>
        <w:rPr>
          <w:rFonts w:hAnsi="Arial" w:hint="default"/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Arial"/>
          <w:sz w:val="24"/>
          <w:szCs w:val="24"/>
          <w:rtl w:val="0"/>
          <w:lang w:val="ru-RU"/>
        </w:rPr>
        <w:t>10 (</w:t>
      </w:r>
      <w:r>
        <w:rPr>
          <w:rFonts w:hAnsi="Arial" w:hint="default"/>
          <w:sz w:val="24"/>
          <w:szCs w:val="24"/>
          <w:rtl w:val="0"/>
          <w:lang w:val="ru-RU"/>
        </w:rPr>
        <w:t>десяти</w:t>
      </w:r>
      <w:r>
        <w:rPr>
          <w:rFonts w:ascii="Arial"/>
          <w:sz w:val="24"/>
          <w:szCs w:val="24"/>
          <w:rtl w:val="0"/>
          <w:lang w:val="ru-RU"/>
        </w:rPr>
        <w:t xml:space="preserve">) </w:t>
      </w:r>
      <w:r>
        <w:rPr>
          <w:rFonts w:hAnsi="Arial" w:hint="default"/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Arial"/>
          <w:sz w:val="24"/>
          <w:szCs w:val="24"/>
          <w:rtl w:val="0"/>
          <w:lang w:val="ru-RU"/>
        </w:rPr>
        <w:t>.</w:t>
      </w:r>
      <w:r>
        <w:rPr>
          <w:rFonts w:hAnsi="Arial" w:hint="default"/>
          <w:sz w:val="24"/>
          <w:szCs w:val="24"/>
          <w:rtl w:val="0"/>
          <w:lang w:val="en-US"/>
        </w:rPr>
        <w:t> </w:t>
      </w:r>
    </w:p>
    <w:p>
      <w:pPr>
        <w:pStyle w:val="Обычный"/>
        <w:spacing w:line="240" w:lineRule="auto"/>
        <w:rPr>
          <w:rFonts w:ascii="Arial" w:cs="Arial" w:hAnsi="Arial" w:eastAsia="Arial"/>
          <w:sz w:val="24"/>
          <w:szCs w:val="24"/>
        </w:rPr>
      </w:pPr>
    </w:p>
    <w:p>
      <w:pPr>
        <w:pStyle w:val="Обычный"/>
      </w:pPr>
      <w:r>
        <w:rPr>
          <w:rFonts w:hAnsi="Arial" w:hint="default"/>
          <w:sz w:val="24"/>
          <w:szCs w:val="24"/>
          <w:rtl w:val="0"/>
          <w:lang w:val="ru-RU"/>
        </w:rPr>
        <w:t>Протокол подписан организатором торгов</w:t>
      </w:r>
      <w:r>
        <w:rPr>
          <w:rFonts w:ascii="Arial"/>
          <w:sz w:val="24"/>
          <w:szCs w:val="24"/>
          <w:rtl w:val="0"/>
          <w:lang w:val="ru-RU"/>
        </w:rPr>
        <w:t>.</w:t>
      </w:r>
      <w:r>
        <w:rPr>
          <w:rFonts w:ascii="Arial" w:cs="Arial" w:hAnsi="Arial" w:eastAsia="Arial"/>
          <w:sz w:val="24"/>
          <w:szCs w:val="24"/>
          <w:rtl w:val="0"/>
        </w:rPr>
        <w:br w:type="page"/>
      </w:r>
    </w:p>
    <w:p>
      <w:pPr>
        <w:pStyle w:val="Обычный"/>
      </w:pPr>
      <w:r>
        <w:rPr>
          <w:rFonts w:ascii="Arial" w:cs="Arial" w:hAnsi="Arial" w:eastAsia="Arial"/>
          <w:sz w:val="24"/>
          <w:szCs w:val="24"/>
          <w:rtl w:val="0"/>
        </w:rPr>
      </w:r>
    </w:p>
    <w:sectPr>
      <w:headerReference w:type="default" r:id="rId6"/>
      <w:footerReference w:type="default" r:id="rId7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Нижний колонтитул"/>
      <w:tabs>
        <w:tab w:val="right" w:pos="9329"/>
        <w:tab w:val="clear" w:pos="9355"/>
      </w:tabs>
      <w:jc w:val="center"/>
    </w:pPr>
    <w:r>
      <w:rPr>
        <w:sz w:val="22"/>
        <w:szCs w:val="22"/>
        <w:rtl w:val="0"/>
      </w:rPr>
      <w:fldChar w:fldCharType="begin" w:fldLock="0"/>
    </w:r>
    <w:r>
      <w:rPr>
        <w:sz w:val="22"/>
        <w:szCs w:val="22"/>
        <w:rtl w:val="0"/>
      </w:rPr>
      <w:t xml:space="preserve"> PAGE </w:t>
    </w:r>
    <w:r>
      <w:rPr>
        <w:sz w:val="22"/>
        <w:szCs w:val="22"/>
        <w:rtl w:val="0"/>
      </w:rPr>
      <w:fldChar w:fldCharType="separate" w:fldLock="0"/>
    </w:r>
    <w:r>
      <w:rPr>
        <w:sz w:val="22"/>
        <w:szCs w:val="22"/>
        <w:rtl w:val="0"/>
      </w:rPr>
      <w:t>9</w:t>
    </w:r>
    <w:r>
      <w:rPr>
        <w:sz w:val="22"/>
        <w:szCs w:val="22"/>
        <w:rtl w:val="0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position w:val="0"/>
        <w:sz w:val="24"/>
        <w:szCs w:val="24"/>
        <w:rtl w:val="0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position w:val="0"/>
        <w:sz w:val="24"/>
        <w:szCs w:val="24"/>
        <w:rtl w:val="0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position w:val="0"/>
        <w:sz w:val="24"/>
        <w:szCs w:val="24"/>
        <w:rtl w:val="0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9">
    <w:multiLevelType w:val="multilevel"/>
    <w:styleLink w:val="List 2"/>
    <w:lvl w:ilvl="0">
      <w:start w:val="2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1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1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2">
    <w:multiLevelType w:val="multilevel"/>
    <w:styleLink w:val="List 3"/>
    <w:lvl w:ilvl="0">
      <w:start w:val="3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13">
    <w:multiLevelType w:val="multilevel"/>
    <w:styleLink w:val="List 3"/>
    <w:lvl w:ilvl="0">
      <w:start w:val="0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</w:abstractNum>
  <w:abstractNum w:abstractNumId="1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1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6">
    <w:multiLevelType w:val="multilevel"/>
    <w:styleLink w:val="List 4"/>
    <w:lvl w:ilvl="0">
      <w:start w:val="4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17">
    <w:multiLevelType w:val="multilevel"/>
    <w:styleLink w:val="List 4"/>
    <w:lvl w:ilvl="0">
      <w:start w:val="0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</w:abstractNum>
  <w:abstractNum w:abstractNumId="18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19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0">
    <w:multiLevelType w:val="multilevel"/>
    <w:styleLink w:val="List 5"/>
    <w:lvl w:ilvl="0">
      <w:start w:val="5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21">
    <w:multiLevelType w:val="multilevel"/>
    <w:styleLink w:val="List 5"/>
    <w:lvl w:ilvl="0">
      <w:start w:val="0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</w:abstractNum>
  <w:abstractNum w:abstractNumId="2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23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4">
    <w:multiLevelType w:val="multilevel"/>
    <w:styleLink w:val="List 6"/>
    <w:lvl w:ilvl="0">
      <w:start w:val="6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25">
    <w:multiLevelType w:val="multilevel"/>
    <w:styleLink w:val="List 6"/>
    <w:lvl w:ilvl="0">
      <w:start w:val="0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rtl w:val="0"/>
      </w:rPr>
    </w:lvl>
  </w:abstractNum>
  <w:abstractNum w:abstractNumId="26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abstractNum w:abstractNumId="27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8">
    <w:multiLevelType w:val="multilevel"/>
    <w:styleLink w:val="List 7"/>
    <w:lvl w:ilvl="0">
      <w:start w:val="7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" w:cs="Arial" w:hAnsi="Arial" w:eastAsia="Arial"/>
        <w:b w:val="1"/>
        <w:bCs w:val="1"/>
        <w:position w:val="0"/>
        <w:sz w:val="24"/>
        <w:szCs w:val="24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Нижний колонтитул">
    <w:name w:val="Нижний колонтитул"/>
    <w:next w:val="Нижний колонтитул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numbering" w:styleId="List 1">
    <w:name w:val="List 1"/>
    <w:basedOn w:val="Импортированный стиль 2"/>
    <w:next w:val="List 1"/>
    <w:pPr>
      <w:numPr>
        <w:numId w:val="5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6"/>
      </w:numPr>
    </w:pPr>
  </w:style>
  <w:style w:type="numbering" w:styleId="List 2">
    <w:name w:val="List 2"/>
    <w:basedOn w:val="Импортированный стиль 3"/>
    <w:next w:val="List 2"/>
    <w:pPr>
      <w:numPr>
        <w:numId w:val="8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9"/>
      </w:numPr>
    </w:pPr>
  </w:style>
  <w:style w:type="character" w:styleId="Hyperlink.0">
    <w:name w:val="Hyperlink.0"/>
    <w:basedOn w:val="Hyperlink"/>
    <w:next w:val="Hyperlink.0"/>
    <w:rPr>
      <w:u w:val="single"/>
    </w:rPr>
  </w:style>
  <w:style w:type="numbering" w:styleId="List 3">
    <w:name w:val="List 3"/>
    <w:basedOn w:val="Импортированный стиль 5"/>
    <w:next w:val="List 3"/>
    <w:pPr>
      <w:numPr>
        <w:numId w:val="11"/>
      </w:numPr>
    </w:pPr>
  </w:style>
  <w:style w:type="numbering" w:styleId="Импортированный стиль 5">
    <w:name w:val="Импортированный стиль 5"/>
    <w:next w:val="Импортированный стиль 5"/>
    <w:pPr>
      <w:numPr>
        <w:numId w:val="12"/>
      </w:numPr>
    </w:pPr>
  </w:style>
  <w:style w:type="numbering" w:styleId="List 4">
    <w:name w:val="List 4"/>
    <w:basedOn w:val="Импортированный стиль 7"/>
    <w:next w:val="List 4"/>
    <w:pPr>
      <w:numPr>
        <w:numId w:val="15"/>
      </w:numPr>
    </w:pPr>
  </w:style>
  <w:style w:type="numbering" w:styleId="Импортированный стиль 7">
    <w:name w:val="Импортированный стиль 7"/>
    <w:next w:val="Импортированный стиль 7"/>
    <w:pPr>
      <w:numPr>
        <w:numId w:val="16"/>
      </w:numPr>
    </w:pPr>
  </w:style>
  <w:style w:type="numbering" w:styleId="List 5">
    <w:name w:val="List 5"/>
    <w:basedOn w:val="Импортированный стиль 8"/>
    <w:next w:val="List 5"/>
    <w:pPr>
      <w:numPr>
        <w:numId w:val="19"/>
      </w:numPr>
    </w:pPr>
  </w:style>
  <w:style w:type="numbering" w:styleId="Импортированный стиль 8">
    <w:name w:val="Импортированный стиль 8"/>
    <w:next w:val="Импортированный стиль 8"/>
    <w:pPr>
      <w:numPr>
        <w:numId w:val="20"/>
      </w:numPr>
    </w:pPr>
  </w:style>
  <w:style w:type="numbering" w:styleId="List 6">
    <w:name w:val="List 6"/>
    <w:basedOn w:val="Импортированный стиль 10"/>
    <w:next w:val="List 6"/>
    <w:pPr>
      <w:numPr>
        <w:numId w:val="23"/>
      </w:numPr>
    </w:pPr>
  </w:style>
  <w:style w:type="numbering" w:styleId="Импортированный стиль 10">
    <w:name w:val="Импортированный стиль 10"/>
    <w:next w:val="Импортированный стиль 10"/>
    <w:pPr>
      <w:numPr>
        <w:numId w:val="24"/>
      </w:numPr>
    </w:pPr>
  </w:style>
  <w:style w:type="numbering" w:styleId="List 7">
    <w:name w:val="List 7"/>
    <w:basedOn w:val="Импортированный стиль 12"/>
    <w:next w:val="List 7"/>
    <w:pPr>
      <w:numPr>
        <w:numId w:val="27"/>
      </w:numPr>
    </w:pPr>
  </w:style>
  <w:style w:type="numbering" w:styleId="Импортированный стиль 12">
    <w:name w:val="Импортированный стиль 12"/>
    <w:next w:val="Импортированный стиль 12"/>
    <w:pPr>
      <w:numPr>
        <w:numId w:val="28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d-ezhov@bk.ru" TargetMode="External"/><Relationship Id="rId5" Type="http://schemas.openxmlformats.org/officeDocument/2006/relationships/hyperlink" Target="mailto:d-ezhov@bk.ru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