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Обычный"/>
        <w:suppressAutoHyphens w:val="1"/>
        <w:spacing w:after="0" w:line="240" w:lineRule="auto"/>
        <w:jc w:val="center"/>
        <w:rPr>
          <w:rFonts w:ascii="Calibri" w:cs="Calibri" w:hAnsi="Calibri" w:eastAsia="Calibri"/>
          <w:b w:val="1"/>
          <w:bCs w:val="1"/>
          <w:sz w:val="24"/>
          <w:szCs w:val="24"/>
        </w:rPr>
      </w:pPr>
      <w:r>
        <w:rPr>
          <w:rFonts w:hAnsi="Calibri" w:hint="default"/>
          <w:b w:val="1"/>
          <w:bCs w:val="1"/>
          <w:sz w:val="24"/>
          <w:szCs w:val="24"/>
          <w:rtl w:val="0"/>
          <w:lang w:val="ru-RU"/>
        </w:rPr>
        <w:t xml:space="preserve">Протокол № </w:t>
      </w:r>
      <w:r>
        <w:rPr>
          <w:rFonts w:ascii="Calibri"/>
          <w:b w:val="1"/>
          <w:bCs w:val="1"/>
          <w:sz w:val="24"/>
          <w:szCs w:val="24"/>
          <w:rtl w:val="0"/>
          <w:lang w:val="ru-RU"/>
        </w:rPr>
        <w:t>56-</w:t>
      </w:r>
      <w:r>
        <w:rPr>
          <w:rFonts w:ascii="Calibri"/>
          <w:b w:val="1"/>
          <w:bCs w:val="1"/>
          <w:sz w:val="24"/>
          <w:szCs w:val="24"/>
          <w:rtl w:val="0"/>
          <w:lang w:val="ru-RU"/>
        </w:rPr>
        <w:t>8</w:t>
      </w:r>
    </w:p>
    <w:p>
      <w:pPr>
        <w:pStyle w:val="Обычный"/>
        <w:suppressAutoHyphens w:val="1"/>
        <w:spacing w:after="0" w:line="240" w:lineRule="auto"/>
        <w:jc w:val="center"/>
        <w:rPr>
          <w:rFonts w:ascii="Calibri" w:cs="Calibri" w:hAnsi="Calibri" w:eastAsia="Calibri"/>
          <w:b w:val="1"/>
          <w:bCs w:val="1"/>
          <w:sz w:val="24"/>
          <w:szCs w:val="24"/>
        </w:rPr>
      </w:pPr>
      <w:r>
        <w:rPr>
          <w:rFonts w:hAnsi="Calibri" w:hint="default"/>
          <w:b w:val="1"/>
          <w:bCs w:val="1"/>
          <w:sz w:val="24"/>
          <w:szCs w:val="24"/>
          <w:rtl w:val="0"/>
          <w:lang w:val="ru-RU"/>
        </w:rPr>
        <w:t xml:space="preserve">о результатах проведения открытых торгов в форме публичного предложения </w:t>
      </w:r>
    </w:p>
    <w:p>
      <w:pPr>
        <w:pStyle w:val="Обычный"/>
        <w:suppressAutoHyphens w:val="1"/>
        <w:spacing w:after="0" w:line="240" w:lineRule="auto"/>
        <w:jc w:val="right"/>
        <w:rPr>
          <w:rFonts w:ascii="Calibri" w:cs="Calibri" w:hAnsi="Calibri" w:eastAsia="Calibri"/>
          <w:b w:val="1"/>
          <w:bCs w:val="1"/>
          <w:sz w:val="24"/>
          <w:szCs w:val="24"/>
        </w:rPr>
      </w:pPr>
      <w:r>
        <w:rPr>
          <w:rFonts w:ascii="Calibri" w:cs="Calibri" w:hAnsi="Calibri" w:eastAsia="Calibri"/>
          <w:b w:val="1"/>
          <w:bCs w:val="1"/>
          <w:sz w:val="24"/>
          <w:szCs w:val="24"/>
          <w:rtl w:val="0"/>
        </w:rPr>
        <w:br w:type="textWrapping"/>
        <w:t xml:space="preserve">от </w:t>
      </w:r>
      <w:r>
        <w:rPr>
          <w:rFonts w:ascii="Calibri"/>
          <w:b w:val="1"/>
          <w:bCs w:val="1"/>
          <w:sz w:val="24"/>
          <w:szCs w:val="24"/>
          <w:rtl w:val="0"/>
          <w:lang w:val="ru-RU"/>
        </w:rPr>
        <w:t>11</w:t>
      </w:r>
      <w:r>
        <w:rPr>
          <w:rFonts w:ascii="Calibri"/>
          <w:b w:val="1"/>
          <w:bCs w:val="1"/>
          <w:sz w:val="24"/>
          <w:szCs w:val="24"/>
          <w:rtl w:val="0"/>
          <w:lang w:val="ru-RU"/>
        </w:rPr>
        <w:t xml:space="preserve">.07.2017 </w:t>
      </w:r>
      <w:r>
        <w:rPr>
          <w:rFonts w:hAnsi="Calibri" w:hint="default"/>
          <w:b w:val="1"/>
          <w:bCs w:val="1"/>
          <w:sz w:val="24"/>
          <w:szCs w:val="24"/>
          <w:rtl w:val="0"/>
          <w:lang w:val="ru-RU"/>
        </w:rPr>
        <w:t>года</w:t>
      </w:r>
      <w:r>
        <w:rPr>
          <w:rFonts w:ascii="Calibri"/>
          <w:b w:val="1"/>
          <w:bCs w:val="1"/>
          <w:sz w:val="24"/>
          <w:szCs w:val="24"/>
          <w:rtl w:val="0"/>
          <w:lang w:val="ru-RU"/>
        </w:rPr>
        <w:t>.</w:t>
      </w:r>
    </w:p>
    <w:p>
      <w:pPr>
        <w:pStyle w:val="Обычный"/>
        <w:suppressAutoHyphens w:val="1"/>
        <w:spacing w:after="0" w:line="240" w:lineRule="auto"/>
        <w:jc w:val="right"/>
        <w:rPr>
          <w:rFonts w:ascii="Calibri" w:cs="Calibri" w:hAnsi="Calibri" w:eastAsia="Calibri"/>
          <w:b w:val="1"/>
          <w:bCs w:val="1"/>
          <w:sz w:val="24"/>
          <w:szCs w:val="24"/>
        </w:rPr>
      </w:pPr>
    </w:p>
    <w:p>
      <w:pPr>
        <w:pStyle w:val="Обычный"/>
        <w:widowControl w:val="0"/>
        <w:suppressAutoHyphens w:val="1"/>
        <w:spacing w:after="0" w:line="240" w:lineRule="auto"/>
        <w:ind w:firstLine="567"/>
        <w:jc w:val="both"/>
        <w:rPr>
          <w:rFonts w:ascii="Calibri" w:cs="Calibri" w:hAnsi="Calibri" w:eastAsia="Calibri"/>
          <w:b w:val="1"/>
          <w:bCs w:val="1"/>
          <w:sz w:val="24"/>
          <w:szCs w:val="24"/>
        </w:rPr>
      </w:pPr>
      <w:r>
        <w:rPr>
          <w:rFonts w:ascii="Calibri"/>
          <w:b w:val="1"/>
          <w:bCs w:val="1"/>
          <w:sz w:val="24"/>
          <w:szCs w:val="24"/>
          <w:rtl w:val="0"/>
          <w:lang w:val="ru-RU"/>
        </w:rPr>
        <w:t xml:space="preserve">1. </w:t>
      </w:r>
      <w:r>
        <w:rPr>
          <w:rFonts w:hAnsi="Calibri" w:hint="default"/>
          <w:b w:val="1"/>
          <w:bCs w:val="1"/>
          <w:sz w:val="24"/>
          <w:szCs w:val="24"/>
          <w:rtl w:val="0"/>
          <w:lang w:val="ru-RU"/>
        </w:rPr>
        <w:t>Информация о</w:t>
      </w:r>
      <w:r>
        <w:rPr>
          <w:rFonts w:ascii="Calibri"/>
          <w:b w:val="1"/>
          <w:bCs w:val="1"/>
          <w:sz w:val="24"/>
          <w:szCs w:val="24"/>
          <w:rtl w:val="0"/>
          <w:lang w:val="ru-RU"/>
        </w:rPr>
        <w:t>/</w:t>
      </w:r>
      <w:r>
        <w:rPr>
          <w:rFonts w:hAnsi="Calibri" w:hint="default"/>
          <w:b w:val="1"/>
          <w:bCs w:val="1"/>
          <w:sz w:val="24"/>
          <w:szCs w:val="24"/>
          <w:rtl w:val="0"/>
          <w:lang w:val="ru-RU"/>
        </w:rPr>
        <w:t>об открытом аукционе в форме публичного предложения</w:t>
      </w:r>
    </w:p>
    <w:tbl>
      <w:tblPr>
        <w:tblW w:w="9639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2981"/>
        <w:gridCol w:w="6658"/>
      </w:tblGrid>
      <w:tr>
        <w:tblPrEx>
          <w:shd w:val="clear" w:color="auto" w:fill="auto"/>
        </w:tblPrEx>
        <w:trPr>
          <w:trHeight w:val="330" w:hRule="atLeast"/>
        </w:trPr>
        <w:tc>
          <w:tcPr>
            <w:tcW w:type="dxa" w:w="2981"/>
            <w:tcBorders>
              <w:top w:val="nil"/>
              <w:left w:val="nil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hAnsi="Calibri" w:hint="default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Поля</w:t>
            </w:r>
          </w:p>
        </w:tc>
        <w:tc>
          <w:tcPr>
            <w:tcW w:type="dxa" w:w="6658"/>
            <w:tcBorders>
              <w:top w:val="nil"/>
              <w:left w:val="single" w:color="000000" w:sz="4" w:space="0" w:shadow="0" w:frame="0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hAnsi="Calibri" w:hint="default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Вставка</w:t>
            </w:r>
          </w:p>
        </w:tc>
      </w:tr>
      <w:tr>
        <w:tblPrEx>
          <w:shd w:val="clear" w:color="auto" w:fill="auto"/>
        </w:tblPrEx>
        <w:trPr>
          <w:trHeight w:val="471" w:hRule="atLeast"/>
        </w:trPr>
        <w:tc>
          <w:tcPr>
            <w:tcW w:type="dxa" w:w="2981"/>
            <w:tcBorders>
              <w:top w:val="nil"/>
              <w:left w:val="nil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Форма представления предложений о цене</w:t>
            </w:r>
          </w:p>
        </w:tc>
        <w:tc>
          <w:tcPr>
            <w:tcW w:type="dxa" w:w="6658"/>
            <w:tcBorders>
              <w:top w:val="nil"/>
              <w:left w:val="single" w:color="000000" w:sz="4" w:space="0" w:shadow="0" w:frame="0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Открытая</w:t>
            </w:r>
          </w:p>
        </w:tc>
      </w:tr>
      <w:tr>
        <w:tblPrEx>
          <w:shd w:val="clear" w:color="auto" w:fill="auto"/>
        </w:tblPrEx>
        <w:trPr>
          <w:trHeight w:val="847" w:hRule="atLeast"/>
        </w:trPr>
        <w:tc>
          <w:tcPr>
            <w:tcW w:type="dxa" w:w="2981"/>
            <w:tcBorders>
              <w:top w:val="nil"/>
              <w:left w:val="nil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Наименование</w:t>
            </w:r>
          </w:p>
        </w:tc>
        <w:tc>
          <w:tcPr>
            <w:tcW w:type="dxa" w:w="6658"/>
            <w:tcBorders>
              <w:top w:val="nil"/>
              <w:left w:val="single" w:color="000000" w:sz="4" w:space="0" w:shadow="0" w:frame="0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Торги в форме публичного предложения по продаже имущества должника Общества с ограниченной ответственностью «Техновест»</w:t>
            </w:r>
          </w:p>
        </w:tc>
      </w:tr>
      <w:tr>
        <w:tblPrEx>
          <w:shd w:val="clear" w:color="auto" w:fill="auto"/>
        </w:tblPrEx>
        <w:trPr>
          <w:trHeight w:val="847" w:hRule="atLeast"/>
        </w:trPr>
        <w:tc>
          <w:tcPr>
            <w:tcW w:type="dxa" w:w="2981"/>
            <w:tcBorders>
              <w:top w:val="nil"/>
              <w:left w:val="nil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Дополнительные сведения</w:t>
            </w:r>
          </w:p>
        </w:tc>
        <w:tc>
          <w:tcPr>
            <w:tcW w:type="dxa" w:w="6658"/>
            <w:tcBorders>
              <w:top w:val="nil"/>
              <w:left w:val="single" w:color="000000" w:sz="4" w:space="0" w:shadow="0" w:frame="0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Торги в форме публичного предложения по продаже имущества должника Общества с ограниченной ответственностью «Техновест»</w:t>
            </w:r>
          </w:p>
        </w:tc>
      </w:tr>
      <w:tr>
        <w:tblPrEx>
          <w:shd w:val="clear" w:color="auto" w:fill="auto"/>
        </w:tblPrEx>
        <w:trPr>
          <w:trHeight w:val="573" w:hRule="atLeast"/>
        </w:trPr>
        <w:tc>
          <w:tcPr>
            <w:tcW w:type="dxa" w:w="2981"/>
            <w:tcBorders>
              <w:top w:val="nil"/>
              <w:left w:val="nil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  <w:rPr>
                <w:rFonts w:ascii="Calibri" w:cs="Calibri" w:hAnsi="Calibri" w:eastAsia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</w:pP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Определение </w:t>
            </w:r>
          </w:p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победителя торгов</w:t>
            </w:r>
          </w:p>
        </w:tc>
        <w:tc>
          <w:tcPr>
            <w:tcW w:type="dxa" w:w="6658"/>
            <w:tcBorders>
              <w:top w:val="nil"/>
              <w:left w:val="single" w:color="000000" w:sz="4" w:space="0" w:shadow="0" w:frame="0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  <w:rPr>
                <w:rFonts w:ascii="Calibri" w:cs="Calibri" w:hAnsi="Calibri" w:eastAsia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</w:pP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 соответствии с п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.4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ст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139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ФЗ </w:t>
            </w:r>
          </w:p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"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О несостоятельности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(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банкротстве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)"</w:t>
            </w:r>
          </w:p>
        </w:tc>
      </w:tr>
      <w:tr>
        <w:tblPrEx>
          <w:shd w:val="clear" w:color="auto" w:fill="auto"/>
        </w:tblPrEx>
        <w:trPr>
          <w:trHeight w:val="1221" w:hRule="atLeast"/>
        </w:trPr>
        <w:tc>
          <w:tcPr>
            <w:tcW w:type="dxa" w:w="2981"/>
            <w:tcBorders>
              <w:top w:val="nil"/>
              <w:left w:val="nil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Порядок представления заявок на участие в торгах</w:t>
            </w:r>
          </w:p>
        </w:tc>
        <w:tc>
          <w:tcPr>
            <w:tcW w:type="dxa" w:w="6658"/>
            <w:tcBorders>
              <w:top w:val="nil"/>
              <w:left w:val="single" w:color="000000" w:sz="4" w:space="0" w:shadow="0" w:frame="0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Заявки подаются через оператора ЭП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(</w:t>
            </w:r>
            <w:r>
              <w:rPr>
                <w:rFonts w:ascii="Calibri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single" w:color="auto"/>
                <w:vertAlign w:val="baseline"/>
                <w:rtl w:val="0"/>
                <w:lang w:val="ru-RU"/>
              </w:rPr>
              <w:t>http://eurtp.ru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)/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Заявки принимаются с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10:00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начала периода приема заявок и заканчивается в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11:00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пятого дня периода предложения цены продажи имущества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auto"/>
        </w:tblPrEx>
        <w:trPr>
          <w:trHeight w:val="471" w:hRule="atLeast"/>
        </w:trPr>
        <w:tc>
          <w:tcPr>
            <w:tcW w:type="dxa" w:w="2981"/>
            <w:tcBorders>
              <w:top w:val="nil"/>
              <w:left w:val="nil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  <w:rPr>
                <w:rFonts w:ascii="Calibri" w:cs="Calibri" w:hAnsi="Calibri" w:eastAsia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</w:pP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Дата начала </w:t>
            </w:r>
          </w:p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приема заявок на участие</w:t>
            </w:r>
          </w:p>
        </w:tc>
        <w:tc>
          <w:tcPr>
            <w:tcW w:type="dxa" w:w="6658"/>
            <w:tcBorders>
              <w:top w:val="nil"/>
              <w:left w:val="single" w:color="000000" w:sz="4" w:space="0" w:shadow="0" w:frame="0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29.05.2017 10:00:00</w:t>
            </w:r>
          </w:p>
        </w:tc>
      </w:tr>
      <w:tr>
        <w:tblPrEx>
          <w:shd w:val="clear" w:color="auto" w:fill="auto"/>
        </w:tblPrEx>
        <w:trPr>
          <w:trHeight w:val="471" w:hRule="atLeast"/>
        </w:trPr>
        <w:tc>
          <w:tcPr>
            <w:tcW w:type="dxa" w:w="2981"/>
            <w:tcBorders>
              <w:top w:val="nil"/>
              <w:left w:val="nil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  <w:rPr>
                <w:rFonts w:ascii="Calibri" w:cs="Calibri" w:hAnsi="Calibri" w:eastAsia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</w:pP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Дата окончания </w:t>
            </w:r>
          </w:p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приема заявок на участие</w:t>
            </w:r>
          </w:p>
        </w:tc>
        <w:tc>
          <w:tcPr>
            <w:tcW w:type="dxa" w:w="6658"/>
            <w:tcBorders>
              <w:top w:val="nil"/>
              <w:left w:val="single" w:color="000000" w:sz="4" w:space="0" w:shadow="0" w:frame="0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11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.07.2017 10:00:00</w:t>
            </w:r>
          </w:p>
        </w:tc>
      </w:tr>
      <w:tr>
        <w:tblPrEx>
          <w:shd w:val="clear" w:color="auto" w:fill="auto"/>
        </w:tblPrEx>
        <w:trPr>
          <w:trHeight w:val="991" w:hRule="atLeast"/>
        </w:trPr>
        <w:tc>
          <w:tcPr>
            <w:tcW w:type="dxa" w:w="2981"/>
            <w:tcBorders>
              <w:top w:val="nil"/>
              <w:left w:val="nil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type="dxa" w:w="6658"/>
            <w:tcBorders>
              <w:top w:val="nil"/>
              <w:left w:val="single" w:color="000000" w:sz="4" w:space="0" w:shadow="0" w:frame="0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18.03.2017 10:00:00</w:t>
            </w:r>
          </w:p>
        </w:tc>
      </w:tr>
      <w:tr>
        <w:tblPrEx>
          <w:shd w:val="clear" w:color="auto" w:fill="auto"/>
        </w:tblPrEx>
        <w:trPr>
          <w:trHeight w:val="995" w:hRule="atLeast"/>
        </w:trPr>
        <w:tc>
          <w:tcPr>
            <w:tcW w:type="dxa" w:w="2981"/>
            <w:tcBorders>
              <w:top w:val="nil"/>
              <w:left w:val="nil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Дата публикации сообщения о проведении открытых торгов в печатном органе по месту нахождения должника</w:t>
            </w:r>
          </w:p>
        </w:tc>
        <w:tc>
          <w:tcPr>
            <w:tcW w:type="dxa" w:w="6658"/>
            <w:tcBorders>
              <w:top w:val="nil"/>
              <w:left w:val="single" w:color="000000" w:sz="4" w:space="0" w:shadow="0" w:frame="0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21.03.2017 10:00:00</w:t>
            </w:r>
          </w:p>
        </w:tc>
      </w:tr>
      <w:tr>
        <w:tblPrEx>
          <w:shd w:val="clear" w:color="auto" w:fill="auto"/>
        </w:tblPrEx>
        <w:trPr>
          <w:trHeight w:val="1028" w:hRule="atLeast"/>
        </w:trPr>
        <w:tc>
          <w:tcPr>
            <w:tcW w:type="dxa" w:w="2981"/>
            <w:tcBorders>
              <w:top w:val="nil"/>
              <w:left w:val="nil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type="dxa" w:w="6658"/>
            <w:tcBorders>
              <w:top w:val="nil"/>
              <w:left w:val="single" w:color="000000" w:sz="4" w:space="0" w:shadow="0" w:frame="0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16.03.2017 10:00:00</w:t>
            </w:r>
          </w:p>
        </w:tc>
      </w:tr>
    </w:tbl>
    <w:p>
      <w:pPr>
        <w:pStyle w:val="Обычный"/>
        <w:widowControl w:val="0"/>
        <w:suppressAutoHyphens w:val="1"/>
        <w:spacing w:after="0" w:line="240" w:lineRule="auto"/>
        <w:ind w:firstLine="567"/>
        <w:jc w:val="both"/>
        <w:rPr>
          <w:rFonts w:ascii="Calibri" w:cs="Calibri" w:hAnsi="Calibri" w:eastAsia="Calibri"/>
          <w:b w:val="1"/>
          <w:bCs w:val="1"/>
          <w:sz w:val="24"/>
          <w:szCs w:val="24"/>
        </w:rPr>
      </w:pPr>
    </w:p>
    <w:p>
      <w:pPr>
        <w:pStyle w:val="Обычный"/>
        <w:tabs>
          <w:tab w:val="left" w:pos="2981"/>
        </w:tabs>
        <w:suppressAutoHyphens w:val="1"/>
        <w:spacing w:after="0" w:line="240" w:lineRule="auto"/>
        <w:rPr>
          <w:rFonts w:ascii="Calibri" w:cs="Calibri" w:hAnsi="Calibri" w:eastAsia="Calibri"/>
          <w:sz w:val="24"/>
          <w:szCs w:val="24"/>
        </w:rPr>
      </w:pPr>
      <w:r>
        <w:rPr>
          <w:rFonts w:ascii="Calibri" w:cs="Calibri" w:hAnsi="Calibri" w:eastAsia="Calibri"/>
          <w:rtl w:val="0"/>
        </w:rPr>
        <w:tab/>
      </w:r>
    </w:p>
    <w:p>
      <w:pPr>
        <w:pStyle w:val="Обычный"/>
        <w:widowControl w:val="0"/>
        <w:suppressAutoHyphens w:val="1"/>
        <w:spacing w:after="0" w:line="240" w:lineRule="auto"/>
        <w:ind w:firstLine="567"/>
        <w:jc w:val="both"/>
        <w:rPr>
          <w:rFonts w:ascii="Calibri" w:cs="Calibri" w:hAnsi="Calibri" w:eastAsia="Calibri"/>
          <w:b w:val="1"/>
          <w:bCs w:val="1"/>
          <w:sz w:val="24"/>
          <w:szCs w:val="24"/>
        </w:rPr>
      </w:pPr>
      <w:r>
        <w:rPr>
          <w:rFonts w:ascii="Calibri"/>
          <w:b w:val="1"/>
          <w:bCs w:val="1"/>
          <w:sz w:val="24"/>
          <w:szCs w:val="24"/>
          <w:rtl w:val="0"/>
          <w:lang w:val="ru-RU"/>
        </w:rPr>
        <w:t xml:space="preserve">2. </w:t>
      </w:r>
      <w:r>
        <w:rPr>
          <w:rFonts w:hAnsi="Calibri" w:hint="default"/>
          <w:b w:val="1"/>
          <w:bCs w:val="1"/>
          <w:sz w:val="24"/>
          <w:szCs w:val="24"/>
          <w:rtl w:val="0"/>
          <w:lang w:val="ru-RU"/>
        </w:rPr>
        <w:t>Организатор торгов</w:t>
      </w:r>
    </w:p>
    <w:tbl>
      <w:tblPr>
        <w:tblW w:w="9639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3973"/>
        <w:gridCol w:w="5666"/>
      </w:tblGrid>
      <w:tr>
        <w:tblPrEx>
          <w:shd w:val="clear" w:color="auto" w:fill="auto"/>
        </w:tblPrEx>
        <w:trPr>
          <w:trHeight w:val="547" w:hRule="atLeast"/>
        </w:trPr>
        <w:tc>
          <w:tcPr>
            <w:tcW w:type="dxa" w:w="397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Полное наименование</w:t>
            </w:r>
          </w:p>
        </w:tc>
        <w:tc>
          <w:tcPr>
            <w:tcW w:type="dxa" w:w="566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widowControl w:val="0"/>
              <w:suppressAutoHyphens w:val="1"/>
              <w:spacing w:after="0" w:line="240" w:lineRule="auto"/>
              <w:jc w:val="center"/>
            </w:pP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ООО </w:t>
            </w:r>
            <w:r>
              <w:rPr>
                <w:rFonts w:ascii="Calibri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"</w:t>
            </w:r>
            <w:r>
              <w:rPr>
                <w:rFonts w:hAnsi="Calibri" w:hint="default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Консалтинговая фирма </w:t>
            </w:r>
            <w:r>
              <w:rPr>
                <w:rFonts w:ascii="Calibri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"</w:t>
            </w:r>
            <w:r>
              <w:rPr>
                <w:rFonts w:hAnsi="Calibri" w:hint="default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Технологии антикризисного менеджмента</w:t>
            </w:r>
            <w:r>
              <w:rPr>
                <w:rFonts w:ascii="Calibri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"</w:t>
            </w:r>
          </w:p>
        </w:tc>
      </w:tr>
      <w:tr>
        <w:tblPrEx>
          <w:shd w:val="clear" w:color="auto" w:fill="auto"/>
        </w:tblPrEx>
        <w:trPr>
          <w:trHeight w:val="320" w:hRule="atLeast"/>
        </w:trPr>
        <w:tc>
          <w:tcPr>
            <w:tcW w:type="dxa" w:w="397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Краткое наименование организации</w:t>
            </w:r>
          </w:p>
        </w:tc>
        <w:tc>
          <w:tcPr>
            <w:tcW w:type="dxa" w:w="566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ООО «КФ «ТАМ»</w:t>
            </w:r>
          </w:p>
        </w:tc>
      </w:tr>
      <w:tr>
        <w:tblPrEx>
          <w:shd w:val="clear" w:color="auto" w:fill="auto"/>
        </w:tblPrEx>
        <w:trPr>
          <w:trHeight w:val="397" w:hRule="atLeast"/>
        </w:trPr>
        <w:tc>
          <w:tcPr>
            <w:tcW w:type="dxa" w:w="397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ИНН</w:t>
            </w:r>
          </w:p>
        </w:tc>
        <w:tc>
          <w:tcPr>
            <w:tcW w:type="dxa" w:w="566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6451124874</w:t>
            </w:r>
          </w:p>
        </w:tc>
      </w:tr>
      <w:tr>
        <w:tblPrEx>
          <w:shd w:val="clear" w:color="auto" w:fill="auto"/>
        </w:tblPrEx>
        <w:trPr>
          <w:trHeight w:val="397" w:hRule="atLeast"/>
        </w:trPr>
        <w:tc>
          <w:tcPr>
            <w:tcW w:type="dxa" w:w="397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КПП</w:t>
            </w:r>
          </w:p>
        </w:tc>
        <w:tc>
          <w:tcPr>
            <w:tcW w:type="dxa" w:w="566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645201001</w:t>
            </w:r>
          </w:p>
        </w:tc>
      </w:tr>
      <w:tr>
        <w:tblPrEx>
          <w:shd w:val="clear" w:color="auto" w:fill="auto"/>
        </w:tblPrEx>
        <w:trPr>
          <w:trHeight w:val="397" w:hRule="atLeast"/>
        </w:trPr>
        <w:tc>
          <w:tcPr>
            <w:tcW w:type="dxa" w:w="397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ОГРН</w:t>
            </w:r>
          </w:p>
        </w:tc>
        <w:tc>
          <w:tcPr>
            <w:tcW w:type="dxa" w:w="566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1026402489497</w:t>
            </w:r>
          </w:p>
        </w:tc>
      </w:tr>
      <w:tr>
        <w:tblPrEx>
          <w:shd w:val="clear" w:color="auto" w:fill="auto"/>
        </w:tblPrEx>
        <w:trPr>
          <w:trHeight w:val="397" w:hRule="atLeast"/>
        </w:trPr>
        <w:tc>
          <w:tcPr>
            <w:tcW w:type="dxa" w:w="397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Юридический адрес</w:t>
            </w:r>
          </w:p>
        </w:tc>
        <w:tc>
          <w:tcPr>
            <w:tcW w:type="dxa" w:w="566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Саратов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ул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Шелковичная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, 11/15</w:t>
            </w:r>
          </w:p>
        </w:tc>
      </w:tr>
    </w:tbl>
    <w:p>
      <w:pPr>
        <w:pStyle w:val="Обычный"/>
        <w:widowControl w:val="0"/>
        <w:suppressAutoHyphens w:val="1"/>
        <w:spacing w:after="0" w:line="240" w:lineRule="auto"/>
        <w:ind w:firstLine="567"/>
        <w:jc w:val="both"/>
        <w:rPr>
          <w:rFonts w:ascii="Calibri" w:cs="Calibri" w:hAnsi="Calibri" w:eastAsia="Calibri"/>
          <w:b w:val="1"/>
          <w:bCs w:val="1"/>
          <w:sz w:val="24"/>
          <w:szCs w:val="24"/>
        </w:rPr>
      </w:pPr>
    </w:p>
    <w:p>
      <w:pPr>
        <w:pStyle w:val="Обычный"/>
        <w:tabs>
          <w:tab w:val="left" w:pos="3973"/>
        </w:tabs>
        <w:suppressAutoHyphens w:val="1"/>
        <w:spacing w:after="0" w:line="240" w:lineRule="auto"/>
        <w:rPr>
          <w:rFonts w:ascii="Calibri" w:cs="Calibri" w:hAnsi="Calibri" w:eastAsia="Calibri"/>
          <w:sz w:val="24"/>
          <w:szCs w:val="24"/>
        </w:rPr>
      </w:pPr>
      <w:r>
        <w:rPr>
          <w:rFonts w:ascii="Calibri" w:cs="Calibri" w:hAnsi="Calibri" w:eastAsia="Calibri"/>
          <w:sz w:val="24"/>
          <w:szCs w:val="24"/>
          <w:rtl w:val="0"/>
        </w:rPr>
        <w:tab/>
      </w:r>
    </w:p>
    <w:p>
      <w:pPr>
        <w:pStyle w:val="Обычный"/>
        <w:widowControl w:val="0"/>
        <w:suppressAutoHyphens w:val="1"/>
        <w:spacing w:after="0" w:line="240" w:lineRule="auto"/>
        <w:ind w:firstLine="567"/>
        <w:jc w:val="both"/>
        <w:rPr>
          <w:rFonts w:ascii="Calibri" w:cs="Calibri" w:hAnsi="Calibri" w:eastAsia="Calibri"/>
          <w:b w:val="1"/>
          <w:bCs w:val="1"/>
          <w:sz w:val="24"/>
          <w:szCs w:val="24"/>
        </w:rPr>
      </w:pPr>
      <w:r>
        <w:rPr>
          <w:rFonts w:ascii="Calibri"/>
          <w:b w:val="1"/>
          <w:bCs w:val="1"/>
          <w:sz w:val="24"/>
          <w:szCs w:val="24"/>
          <w:rtl w:val="0"/>
          <w:lang w:val="ru-RU"/>
        </w:rPr>
        <w:t xml:space="preserve">3. </w:t>
      </w:r>
      <w:r>
        <w:rPr>
          <w:rFonts w:hAnsi="Calibri" w:hint="default"/>
          <w:b w:val="1"/>
          <w:bCs w:val="1"/>
          <w:sz w:val="24"/>
          <w:szCs w:val="24"/>
          <w:rtl w:val="0"/>
          <w:lang w:val="ru-RU"/>
        </w:rPr>
        <w:t>Арбитражный управляющий</w:t>
      </w:r>
    </w:p>
    <w:tbl>
      <w:tblPr>
        <w:tblW w:w="9639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3973"/>
        <w:gridCol w:w="5666"/>
      </w:tblGrid>
      <w:tr>
        <w:tblPrEx>
          <w:shd w:val="clear" w:color="auto" w:fill="auto"/>
        </w:tblPrEx>
        <w:trPr>
          <w:trHeight w:val="397" w:hRule="exact"/>
        </w:trPr>
        <w:tc>
          <w:tcPr>
            <w:tcW w:type="dxa" w:w="397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ФИО</w:t>
            </w:r>
          </w:p>
        </w:tc>
        <w:tc>
          <w:tcPr>
            <w:tcW w:type="dxa" w:w="566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Бузовский Денис Владимирович</w:t>
            </w:r>
          </w:p>
        </w:tc>
      </w:tr>
      <w:tr>
        <w:tblPrEx>
          <w:shd w:val="clear" w:color="auto" w:fill="auto"/>
        </w:tblPrEx>
        <w:trPr>
          <w:trHeight w:val="397" w:hRule="exact"/>
        </w:trPr>
        <w:tc>
          <w:tcPr>
            <w:tcW w:type="dxa" w:w="397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ИНН</w:t>
            </w:r>
          </w:p>
        </w:tc>
        <w:tc>
          <w:tcPr>
            <w:tcW w:type="dxa" w:w="566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644922430400</w:t>
            </w:r>
          </w:p>
        </w:tc>
      </w:tr>
      <w:tr>
        <w:tblPrEx>
          <w:shd w:val="clear" w:color="auto" w:fill="auto"/>
        </w:tblPrEx>
        <w:trPr>
          <w:trHeight w:val="397" w:hRule="exact"/>
        </w:trPr>
        <w:tc>
          <w:tcPr>
            <w:tcW w:type="dxa" w:w="397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Наименование СРО</w:t>
            </w:r>
          </w:p>
        </w:tc>
        <w:tc>
          <w:tcPr>
            <w:tcW w:type="dxa" w:w="566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Союз СРО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"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СЕМТЭК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"</w:t>
            </w:r>
          </w:p>
        </w:tc>
      </w:tr>
      <w:tr>
        <w:tblPrEx>
          <w:shd w:val="clear" w:color="auto" w:fill="auto"/>
        </w:tblPrEx>
        <w:trPr>
          <w:trHeight w:val="397" w:hRule="exact"/>
        </w:trPr>
        <w:tc>
          <w:tcPr>
            <w:tcW w:type="dxa" w:w="397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Регистрационный номер ФРС</w:t>
            </w:r>
          </w:p>
        </w:tc>
        <w:tc>
          <w:tcPr>
            <w:tcW w:type="dxa" w:w="566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12786</w:t>
            </w:r>
          </w:p>
        </w:tc>
      </w:tr>
    </w:tbl>
    <w:p>
      <w:pPr>
        <w:pStyle w:val="Обычный"/>
        <w:widowControl w:val="0"/>
        <w:suppressAutoHyphens w:val="1"/>
        <w:spacing w:after="0" w:line="240" w:lineRule="auto"/>
        <w:ind w:firstLine="567"/>
        <w:jc w:val="both"/>
        <w:rPr>
          <w:rFonts w:ascii="Calibri" w:cs="Calibri" w:hAnsi="Calibri" w:eastAsia="Calibri"/>
          <w:b w:val="1"/>
          <w:bCs w:val="1"/>
          <w:sz w:val="24"/>
          <w:szCs w:val="24"/>
        </w:rPr>
      </w:pPr>
    </w:p>
    <w:p>
      <w:pPr>
        <w:pStyle w:val="Обычный"/>
        <w:suppressAutoHyphens w:val="1"/>
        <w:spacing w:after="0" w:line="240" w:lineRule="auto"/>
        <w:jc w:val="center"/>
        <w:rPr>
          <w:rFonts w:ascii="Calibri" w:cs="Calibri" w:hAnsi="Calibri" w:eastAsia="Calibri"/>
          <w:sz w:val="24"/>
          <w:szCs w:val="24"/>
        </w:rPr>
      </w:pPr>
    </w:p>
    <w:p>
      <w:pPr>
        <w:pStyle w:val="Обычный"/>
        <w:widowControl w:val="0"/>
        <w:suppressAutoHyphens w:val="1"/>
        <w:spacing w:after="0" w:line="240" w:lineRule="auto"/>
        <w:ind w:firstLine="567"/>
        <w:jc w:val="both"/>
        <w:rPr>
          <w:rFonts w:ascii="Calibri" w:cs="Calibri" w:hAnsi="Calibri" w:eastAsia="Calibri"/>
          <w:b w:val="1"/>
          <w:bCs w:val="1"/>
          <w:sz w:val="24"/>
          <w:szCs w:val="24"/>
        </w:rPr>
      </w:pPr>
      <w:r>
        <w:rPr>
          <w:rFonts w:ascii="Calibri"/>
          <w:b w:val="1"/>
          <w:bCs w:val="1"/>
          <w:sz w:val="24"/>
          <w:szCs w:val="24"/>
          <w:rtl w:val="0"/>
          <w:lang w:val="ru-RU"/>
        </w:rPr>
        <w:t xml:space="preserve">4. </w:t>
      </w:r>
      <w:r>
        <w:rPr>
          <w:rFonts w:hAnsi="Calibri" w:hint="default"/>
          <w:b w:val="1"/>
          <w:bCs w:val="1"/>
          <w:sz w:val="24"/>
          <w:szCs w:val="24"/>
          <w:rtl w:val="0"/>
          <w:lang w:val="ru-RU"/>
        </w:rPr>
        <w:t>Сведения о судебном деле</w:t>
      </w:r>
    </w:p>
    <w:tbl>
      <w:tblPr>
        <w:tblW w:w="9639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3973"/>
        <w:gridCol w:w="5666"/>
      </w:tblGrid>
      <w:tr>
        <w:tblPrEx>
          <w:shd w:val="clear" w:color="auto" w:fill="auto"/>
        </w:tblPrEx>
        <w:trPr>
          <w:trHeight w:val="397" w:hRule="exact"/>
        </w:trPr>
        <w:tc>
          <w:tcPr>
            <w:tcW w:type="dxa" w:w="397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Наименование арбитражного суда</w:t>
            </w:r>
          </w:p>
        </w:tc>
        <w:tc>
          <w:tcPr>
            <w:tcW w:type="dxa" w:w="566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Арбитражный суд города Москвы</w:t>
            </w:r>
          </w:p>
        </w:tc>
      </w:tr>
      <w:tr>
        <w:tblPrEx>
          <w:shd w:val="clear" w:color="auto" w:fill="auto"/>
        </w:tblPrEx>
        <w:trPr>
          <w:trHeight w:val="397" w:hRule="exact"/>
        </w:trPr>
        <w:tc>
          <w:tcPr>
            <w:tcW w:type="dxa" w:w="397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Номер дела о банкротстве</w:t>
            </w:r>
          </w:p>
        </w:tc>
        <w:tc>
          <w:tcPr>
            <w:tcW w:type="dxa" w:w="566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40-229047/15</w:t>
            </w:r>
          </w:p>
        </w:tc>
      </w:tr>
      <w:tr>
        <w:tblPrEx>
          <w:shd w:val="clear" w:color="auto" w:fill="auto"/>
        </w:tblPrEx>
        <w:trPr>
          <w:trHeight w:val="397" w:hRule="exact"/>
        </w:trPr>
        <w:tc>
          <w:tcPr>
            <w:tcW w:type="dxa" w:w="397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Основание для проведения торгов</w:t>
            </w:r>
          </w:p>
        </w:tc>
        <w:tc>
          <w:tcPr>
            <w:tcW w:type="dxa" w:w="566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Решение кредиторов Должника от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7.12.2016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</w:p>
        </w:tc>
      </w:tr>
    </w:tbl>
    <w:p>
      <w:pPr>
        <w:pStyle w:val="Обычный"/>
        <w:widowControl w:val="0"/>
        <w:suppressAutoHyphens w:val="1"/>
        <w:spacing w:after="0" w:line="240" w:lineRule="auto"/>
        <w:ind w:firstLine="567"/>
        <w:jc w:val="both"/>
        <w:rPr>
          <w:rFonts w:ascii="Calibri" w:cs="Calibri" w:hAnsi="Calibri" w:eastAsia="Calibri"/>
          <w:b w:val="1"/>
          <w:bCs w:val="1"/>
          <w:sz w:val="24"/>
          <w:szCs w:val="24"/>
        </w:rPr>
      </w:pPr>
    </w:p>
    <w:p>
      <w:pPr>
        <w:pStyle w:val="Обычный"/>
        <w:suppressAutoHyphens w:val="1"/>
        <w:spacing w:after="0" w:line="240" w:lineRule="auto"/>
        <w:jc w:val="center"/>
        <w:rPr>
          <w:rFonts w:ascii="Calibri" w:cs="Calibri" w:hAnsi="Calibri" w:eastAsia="Calibri"/>
          <w:sz w:val="24"/>
          <w:szCs w:val="24"/>
        </w:rPr>
      </w:pPr>
    </w:p>
    <w:p>
      <w:pPr>
        <w:pStyle w:val="Обычный"/>
        <w:widowControl w:val="0"/>
        <w:suppressAutoHyphens w:val="1"/>
        <w:spacing w:after="0" w:line="240" w:lineRule="auto"/>
        <w:ind w:firstLine="567"/>
        <w:jc w:val="both"/>
        <w:rPr>
          <w:rFonts w:ascii="Calibri" w:cs="Calibri" w:hAnsi="Calibri" w:eastAsia="Calibri"/>
          <w:b w:val="1"/>
          <w:bCs w:val="1"/>
          <w:sz w:val="24"/>
          <w:szCs w:val="24"/>
        </w:rPr>
      </w:pPr>
      <w:r>
        <w:rPr>
          <w:rFonts w:ascii="Calibri"/>
          <w:b w:val="1"/>
          <w:bCs w:val="1"/>
          <w:sz w:val="24"/>
          <w:szCs w:val="24"/>
          <w:rtl w:val="0"/>
          <w:lang w:val="ru-RU"/>
        </w:rPr>
        <w:t xml:space="preserve">5. </w:t>
      </w:r>
      <w:r>
        <w:rPr>
          <w:rFonts w:hAnsi="Calibri" w:hint="default"/>
          <w:b w:val="1"/>
          <w:bCs w:val="1"/>
          <w:sz w:val="24"/>
          <w:szCs w:val="24"/>
          <w:rtl w:val="0"/>
          <w:lang w:val="ru-RU"/>
        </w:rPr>
        <w:t>Информация о должнике</w:t>
      </w:r>
    </w:p>
    <w:tbl>
      <w:tblPr>
        <w:tblW w:w="9639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3973"/>
        <w:gridCol w:w="5666"/>
      </w:tblGrid>
      <w:tr>
        <w:tblPrEx>
          <w:shd w:val="clear" w:color="auto" w:fill="auto"/>
        </w:tblPrEx>
        <w:trPr>
          <w:trHeight w:val="397" w:hRule="atLeast"/>
        </w:trPr>
        <w:tc>
          <w:tcPr>
            <w:tcW w:type="dxa" w:w="397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Тип должника</w:t>
            </w:r>
          </w:p>
        </w:tc>
        <w:tc>
          <w:tcPr>
            <w:tcW w:type="dxa" w:w="566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Общество с ограниченной ответственностью</w:t>
            </w:r>
          </w:p>
        </w:tc>
      </w:tr>
      <w:tr>
        <w:tblPrEx>
          <w:shd w:val="clear" w:color="auto" w:fill="auto"/>
        </w:tblPrEx>
        <w:trPr>
          <w:trHeight w:val="640" w:hRule="atLeast"/>
        </w:trPr>
        <w:tc>
          <w:tcPr>
            <w:tcW w:type="dxa" w:w="397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Полное наименование организации</w:t>
            </w:r>
          </w:p>
        </w:tc>
        <w:tc>
          <w:tcPr>
            <w:tcW w:type="dxa" w:w="566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Общество с ограниченной ответственностью «Техновест»</w:t>
            </w:r>
          </w:p>
        </w:tc>
      </w:tr>
      <w:tr>
        <w:tblPrEx>
          <w:shd w:val="clear" w:color="auto" w:fill="auto"/>
        </w:tblPrEx>
        <w:trPr>
          <w:trHeight w:val="397" w:hRule="atLeast"/>
        </w:trPr>
        <w:tc>
          <w:tcPr>
            <w:tcW w:type="dxa" w:w="397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Краткое наименование организации</w:t>
            </w:r>
          </w:p>
        </w:tc>
        <w:tc>
          <w:tcPr>
            <w:tcW w:type="dxa" w:w="566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ООО «Техновест»</w:t>
            </w:r>
          </w:p>
        </w:tc>
      </w:tr>
      <w:tr>
        <w:tblPrEx>
          <w:shd w:val="clear" w:color="auto" w:fill="auto"/>
        </w:tblPrEx>
        <w:trPr>
          <w:trHeight w:val="397" w:hRule="atLeast"/>
        </w:trPr>
        <w:tc>
          <w:tcPr>
            <w:tcW w:type="dxa" w:w="397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ИНН</w:t>
            </w:r>
          </w:p>
        </w:tc>
        <w:tc>
          <w:tcPr>
            <w:tcW w:type="dxa" w:w="566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7724283412</w:t>
            </w:r>
          </w:p>
        </w:tc>
      </w:tr>
      <w:tr>
        <w:tblPrEx>
          <w:shd w:val="clear" w:color="auto" w:fill="auto"/>
        </w:tblPrEx>
        <w:trPr>
          <w:trHeight w:val="397" w:hRule="atLeast"/>
        </w:trPr>
        <w:tc>
          <w:tcPr>
            <w:tcW w:type="dxa" w:w="397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ОГРН</w:t>
            </w:r>
          </w:p>
        </w:tc>
        <w:tc>
          <w:tcPr>
            <w:tcW w:type="dxa" w:w="566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1037724046733</w:t>
            </w:r>
          </w:p>
        </w:tc>
      </w:tr>
      <w:tr>
        <w:tblPrEx>
          <w:shd w:val="clear" w:color="auto" w:fill="auto"/>
        </w:tblPrEx>
        <w:trPr>
          <w:trHeight w:val="2047" w:hRule="atLeast"/>
        </w:trPr>
        <w:tc>
          <w:tcPr>
            <w:tcW w:type="dxa" w:w="397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Порядок и срок заключения договора купли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продажи</w:t>
            </w:r>
          </w:p>
        </w:tc>
        <w:tc>
          <w:tcPr>
            <w:tcW w:type="dxa" w:w="566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В течение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5 (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пяти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)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рабочих дней с момента утверждения протокола Победителю торгов направляется предложение заключить договор купли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продажи имущества с приложением договора купли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продажи в соответствии с представленным победителем торгов предложением о цене приобретения Имущества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</w:p>
        </w:tc>
      </w:tr>
    </w:tbl>
    <w:p>
      <w:pPr>
        <w:pStyle w:val="Обычный"/>
        <w:widowControl w:val="0"/>
        <w:suppressAutoHyphens w:val="1"/>
        <w:spacing w:after="0" w:line="240" w:lineRule="auto"/>
        <w:ind w:firstLine="567"/>
        <w:jc w:val="both"/>
        <w:rPr>
          <w:rFonts w:ascii="Calibri" w:cs="Calibri" w:hAnsi="Calibri" w:eastAsia="Calibri"/>
          <w:b w:val="1"/>
          <w:bCs w:val="1"/>
          <w:sz w:val="24"/>
          <w:szCs w:val="24"/>
        </w:rPr>
      </w:pPr>
    </w:p>
    <w:p>
      <w:pPr>
        <w:pStyle w:val="Обычный"/>
        <w:suppressAutoHyphens w:val="1"/>
        <w:spacing w:after="0" w:line="240" w:lineRule="auto"/>
        <w:jc w:val="center"/>
        <w:rPr>
          <w:rFonts w:ascii="Calibri" w:cs="Calibri" w:hAnsi="Calibri" w:eastAsia="Calibri"/>
          <w:sz w:val="24"/>
          <w:szCs w:val="24"/>
        </w:rPr>
      </w:pPr>
    </w:p>
    <w:p>
      <w:pPr>
        <w:pStyle w:val="Обычный"/>
        <w:widowControl w:val="0"/>
        <w:suppressAutoHyphens w:val="1"/>
        <w:spacing w:after="0" w:line="240" w:lineRule="auto"/>
        <w:ind w:firstLine="567"/>
        <w:jc w:val="both"/>
        <w:rPr>
          <w:rFonts w:ascii="Calibri" w:cs="Calibri" w:hAnsi="Calibri" w:eastAsia="Calibri"/>
          <w:b w:val="1"/>
          <w:bCs w:val="1"/>
          <w:sz w:val="24"/>
          <w:szCs w:val="24"/>
        </w:rPr>
      </w:pPr>
      <w:r>
        <w:rPr>
          <w:rFonts w:ascii="Calibri"/>
          <w:b w:val="1"/>
          <w:bCs w:val="1"/>
          <w:sz w:val="24"/>
          <w:szCs w:val="24"/>
          <w:rtl w:val="0"/>
          <w:lang w:val="ru-RU"/>
        </w:rPr>
        <w:t xml:space="preserve">6. </w:t>
      </w:r>
      <w:r>
        <w:rPr>
          <w:rFonts w:hAnsi="Calibri" w:hint="default"/>
          <w:b w:val="1"/>
          <w:bCs w:val="1"/>
          <w:sz w:val="24"/>
          <w:szCs w:val="24"/>
          <w:rtl w:val="0"/>
          <w:lang w:val="ru-RU"/>
        </w:rPr>
        <w:t>Контактное лицо</w:t>
      </w:r>
    </w:p>
    <w:tbl>
      <w:tblPr>
        <w:tblW w:w="9639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3973"/>
        <w:gridCol w:w="5666"/>
      </w:tblGrid>
      <w:tr>
        <w:tblPrEx>
          <w:shd w:val="clear" w:color="auto" w:fill="auto"/>
        </w:tblPrEx>
        <w:trPr>
          <w:trHeight w:val="397" w:hRule="exact"/>
        </w:trPr>
        <w:tc>
          <w:tcPr>
            <w:tcW w:type="dxa" w:w="397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ФИО</w:t>
            </w:r>
          </w:p>
        </w:tc>
        <w:tc>
          <w:tcPr>
            <w:tcW w:type="dxa" w:w="566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Рысин Владимир Викторович</w:t>
            </w:r>
          </w:p>
        </w:tc>
      </w:tr>
      <w:tr>
        <w:tblPrEx>
          <w:shd w:val="clear" w:color="auto" w:fill="auto"/>
        </w:tblPrEx>
        <w:trPr>
          <w:trHeight w:val="397" w:hRule="exact"/>
        </w:trPr>
        <w:tc>
          <w:tcPr>
            <w:tcW w:type="dxa" w:w="397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Телефон</w:t>
            </w:r>
          </w:p>
        </w:tc>
        <w:tc>
          <w:tcPr>
            <w:tcW w:type="dxa" w:w="566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+78452390291</w:t>
            </w:r>
          </w:p>
        </w:tc>
      </w:tr>
      <w:tr>
        <w:tblPrEx>
          <w:shd w:val="clear" w:color="auto" w:fill="auto"/>
        </w:tblPrEx>
        <w:trPr>
          <w:trHeight w:val="397" w:hRule="exact"/>
        </w:trPr>
        <w:tc>
          <w:tcPr>
            <w:tcW w:type="dxa" w:w="397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Адрес электронной почты</w:t>
            </w:r>
          </w:p>
        </w:tc>
        <w:tc>
          <w:tcPr>
            <w:tcW w:type="dxa" w:w="566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hyperlink r:id="rId4" w:history="1">
              <w:r>
                <w:rPr>
                  <w:rStyle w:val="Hyperlink.0"/>
                  <w:rFonts w:ascii="Calibri"/>
                  <w:caps w:val="0"/>
                  <w:smallCaps w:val="0"/>
                  <w:strike w:val="0"/>
                  <w:dstrike w:val="0"/>
                  <w:outline w:val="0"/>
                  <w:color w:val="000000"/>
                  <w:spacing w:val="0"/>
                  <w:kern w:val="0"/>
                  <w:position w:val="0"/>
                  <w:sz w:val="24"/>
                  <w:szCs w:val="24"/>
                  <w:u w:val="none" w:color="000000"/>
                  <w:vertAlign w:val="baseline"/>
                  <w:rtl w:val="0"/>
                  <w:lang w:val="ru-RU"/>
                </w:rPr>
                <w:t>justice@kftam.ru</w:t>
              </w:r>
            </w:hyperlink>
          </w:p>
        </w:tc>
      </w:tr>
    </w:tbl>
    <w:p>
      <w:pPr>
        <w:pStyle w:val="Обычный"/>
        <w:widowControl w:val="0"/>
        <w:suppressAutoHyphens w:val="1"/>
        <w:spacing w:after="0" w:line="240" w:lineRule="auto"/>
        <w:ind w:firstLine="567"/>
        <w:jc w:val="both"/>
        <w:rPr>
          <w:rFonts w:ascii="Calibri" w:cs="Calibri" w:hAnsi="Calibri" w:eastAsia="Calibri"/>
          <w:b w:val="1"/>
          <w:bCs w:val="1"/>
          <w:sz w:val="24"/>
          <w:szCs w:val="24"/>
        </w:rPr>
      </w:pPr>
    </w:p>
    <w:p>
      <w:pPr>
        <w:pStyle w:val="Обычный"/>
        <w:suppressAutoHyphens w:val="1"/>
        <w:spacing w:after="0" w:line="240" w:lineRule="auto"/>
        <w:jc w:val="center"/>
        <w:rPr>
          <w:rFonts w:ascii="Calibri" w:cs="Calibri" w:hAnsi="Calibri" w:eastAsia="Calibri"/>
          <w:sz w:val="24"/>
          <w:szCs w:val="24"/>
        </w:rPr>
      </w:pPr>
    </w:p>
    <w:p>
      <w:pPr>
        <w:pStyle w:val="Обычный"/>
        <w:widowControl w:val="0"/>
        <w:suppressAutoHyphens w:val="1"/>
        <w:spacing w:after="0" w:line="240" w:lineRule="auto"/>
        <w:ind w:firstLine="567"/>
        <w:jc w:val="both"/>
        <w:rPr>
          <w:rFonts w:ascii="Calibri" w:cs="Calibri" w:hAnsi="Calibri" w:eastAsia="Calibri"/>
          <w:b w:val="1"/>
          <w:bCs w:val="1"/>
          <w:sz w:val="24"/>
          <w:szCs w:val="24"/>
        </w:rPr>
      </w:pPr>
      <w:r>
        <w:rPr>
          <w:rFonts w:ascii="Calibri"/>
          <w:b w:val="1"/>
          <w:bCs w:val="1"/>
          <w:sz w:val="24"/>
          <w:szCs w:val="24"/>
          <w:rtl w:val="0"/>
          <w:lang w:val="ru-RU"/>
        </w:rPr>
        <w:t xml:space="preserve">7. </w:t>
      </w:r>
      <w:r>
        <w:rPr>
          <w:rFonts w:hAnsi="Calibri" w:hint="default"/>
          <w:b w:val="1"/>
          <w:bCs w:val="1"/>
          <w:sz w:val="24"/>
          <w:szCs w:val="24"/>
          <w:rtl w:val="0"/>
          <w:lang w:val="ru-RU"/>
        </w:rPr>
        <w:t>Лоты</w:t>
      </w:r>
    </w:p>
    <w:tbl>
      <w:tblPr>
        <w:tblW w:w="9639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3973"/>
        <w:gridCol w:w="5666"/>
      </w:tblGrid>
      <w:tr>
        <w:tblPrEx>
          <w:shd w:val="clear" w:color="auto" w:fill="auto"/>
        </w:tblPrEx>
        <w:trPr>
          <w:trHeight w:val="397" w:hRule="atLeast"/>
        </w:trPr>
        <w:tc>
          <w:tcPr>
            <w:tcW w:type="dxa" w:w="397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Наименование лота</w:t>
            </w:r>
          </w:p>
        </w:tc>
        <w:tc>
          <w:tcPr>
            <w:tcW w:type="dxa" w:w="566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Лот 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8</w:t>
            </w:r>
          </w:p>
        </w:tc>
      </w:tr>
      <w:tr>
        <w:tblPrEx>
          <w:shd w:val="clear" w:color="auto" w:fill="auto"/>
        </w:tblPrEx>
        <w:trPr>
          <w:trHeight w:val="9247" w:hRule="atLeast"/>
        </w:trPr>
        <w:tc>
          <w:tcPr>
            <w:tcW w:type="dxa" w:w="397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Порядок оформления участия в торгах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перечень представляемых участниками торгов документов и требования к их оформлению</w:t>
            </w:r>
          </w:p>
        </w:tc>
        <w:tc>
          <w:tcPr>
            <w:tcW w:type="dxa" w:w="566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Заявка на участие в торгах должна соответствовать требованиям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установленным Законом «О несостоятельности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(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банкротстве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)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»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Приказом Минэкономразвития РФ от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23.07.2015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№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495,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а также требованиям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указанным в сообщении о проведении торгов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 форме электронного документа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Заявка на участие в торгах должна содержать обязательство участника соблюдать требования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указанные в сообщении о проведении Торгов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 заявке на участие прилагаются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: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выписка из ЕГРЮЛ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(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ЕГРИП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)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полученная не позднее пяти дней до момента представления заявки на участие в торгах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;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полноцветные копии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(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не более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5 Mb):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документов удостоверяющих личность представителей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);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свидетельств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(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ОГРН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ИНН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),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Устава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документов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подтверждающих полномочия руководителя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;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документов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подтверждающий полномочия лица на осуществление действий от имени заявителя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; -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решения о совершении крупной сделки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(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сделки с заинтересованностью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),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если приобретение имущества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внесение задатка являются крупной сделкой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(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сделкой с заинтересованностью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); -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сведения об источнике денежных средств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привлекаемых для приобретения Имущества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реализуемого на Торгах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; -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бухгалтерской отчетности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(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форма 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1-2),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заверенной налоговым органом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за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2015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год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;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иные документы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подтверждающие соответствие претендента условиям участию в Торгах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;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документ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подтверждающий полномочия лица на осуществление действий от имени заявителя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auto"/>
        </w:tblPrEx>
        <w:trPr>
          <w:trHeight w:val="847" w:hRule="atLeast"/>
        </w:trPr>
        <w:tc>
          <w:tcPr>
            <w:tcW w:type="dxa" w:w="397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Сведения об имуществе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его составе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характеристиках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описание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порядок ознакомления</w:t>
            </w:r>
          </w:p>
        </w:tc>
        <w:tc>
          <w:tcPr>
            <w:tcW w:type="dxa" w:w="566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hAnsi="Arial Unicode MS" w:hint="default"/>
                <w:rtl w:val="0"/>
              </w:rPr>
              <w:t xml:space="preserve">Весы автомобильные Оптиум </w:t>
            </w:r>
            <w:r>
              <w:rPr>
                <w:rFonts w:ascii="Arial Unicode MS"/>
                <w:rtl w:val="0"/>
              </w:rPr>
              <w:t>60-18 (2).</w:t>
            </w:r>
          </w:p>
        </w:tc>
      </w:tr>
      <w:tr>
        <w:tblPrEx>
          <w:shd w:val="clear" w:color="auto" w:fill="auto"/>
        </w:tblPrEx>
        <w:trPr>
          <w:trHeight w:val="397" w:hRule="atLeast"/>
        </w:trPr>
        <w:tc>
          <w:tcPr>
            <w:tcW w:type="dxa" w:w="397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Начальная цена</w:t>
            </w:r>
          </w:p>
        </w:tc>
        <w:tc>
          <w:tcPr>
            <w:tcW w:type="dxa" w:w="566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172800,00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руб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auto"/>
        </w:tblPrEx>
        <w:trPr>
          <w:trHeight w:val="397" w:hRule="atLeast"/>
        </w:trPr>
        <w:tc>
          <w:tcPr>
            <w:tcW w:type="dxa" w:w="397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Обеспечение задатка</w:t>
            </w:r>
          </w:p>
        </w:tc>
        <w:tc>
          <w:tcPr>
            <w:tcW w:type="dxa" w:w="566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Процент от начальной цены лота</w:t>
            </w:r>
          </w:p>
        </w:tc>
      </w:tr>
      <w:tr>
        <w:tblPrEx>
          <w:shd w:val="clear" w:color="auto" w:fill="auto"/>
        </w:tblPrEx>
        <w:trPr>
          <w:trHeight w:val="397" w:hRule="atLeast"/>
        </w:trPr>
        <w:tc>
          <w:tcPr>
            <w:tcW w:type="dxa" w:w="397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Размер задатка</w:t>
            </w:r>
          </w:p>
        </w:tc>
        <w:tc>
          <w:tcPr>
            <w:tcW w:type="dxa" w:w="566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20</w:t>
            </w:r>
          </w:p>
        </w:tc>
      </w:tr>
      <w:tr>
        <w:tblPrEx>
          <w:shd w:val="clear" w:color="auto" w:fill="auto"/>
        </w:tblPrEx>
        <w:trPr>
          <w:trHeight w:val="1000" w:hRule="atLeast"/>
        </w:trPr>
        <w:tc>
          <w:tcPr>
            <w:tcW w:type="dxa" w:w="397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Порядок внесения и возврата задатка</w:t>
            </w:r>
          </w:p>
        </w:tc>
        <w:tc>
          <w:tcPr>
            <w:tcW w:type="dxa" w:w="566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  <w:rPr>
                <w:rFonts w:ascii="Calibri" w:cs="Calibri" w:hAnsi="Calibri" w:eastAsia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</w:pP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Реквизиты для оплаты задатка указаны в сообщении №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34030145370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в газете «Коммерсантъ» </w:t>
            </w:r>
          </w:p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№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235 (5985)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от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17.12.2016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auto"/>
        </w:tblPrEx>
        <w:trPr>
          <w:trHeight w:val="847" w:hRule="atLeast"/>
        </w:trPr>
        <w:tc>
          <w:tcPr>
            <w:tcW w:type="dxa" w:w="397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Счет для внесения задатка</w:t>
            </w:r>
          </w:p>
        </w:tc>
        <w:tc>
          <w:tcPr>
            <w:tcW w:type="dxa" w:w="566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Реквизиты для оплаты задатка указаны в сообщении №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34030145370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в газете «Коммерсантъ» №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235 (5985)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от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17.12.2016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auto"/>
        </w:tblPrEx>
        <w:trPr>
          <w:trHeight w:val="397" w:hRule="atLeast"/>
        </w:trPr>
        <w:tc>
          <w:tcPr>
            <w:tcW w:type="dxa" w:w="397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Обеспечение задатка</w:t>
            </w:r>
          </w:p>
        </w:tc>
        <w:tc>
          <w:tcPr>
            <w:tcW w:type="dxa" w:w="566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Процент от начальной цены лота</w:t>
            </w:r>
          </w:p>
        </w:tc>
      </w:tr>
      <w:tr>
        <w:tblPrEx>
          <w:shd w:val="clear" w:color="auto" w:fill="auto"/>
        </w:tblPrEx>
        <w:trPr>
          <w:trHeight w:val="397" w:hRule="atLeast"/>
        </w:trPr>
        <w:tc>
          <w:tcPr>
            <w:tcW w:type="dxa" w:w="397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Размер задатка</w:t>
            </w:r>
          </w:p>
        </w:tc>
        <w:tc>
          <w:tcPr>
            <w:tcW w:type="dxa" w:w="566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20</w:t>
            </w:r>
          </w:p>
        </w:tc>
      </w:tr>
    </w:tbl>
    <w:p>
      <w:pPr>
        <w:pStyle w:val="Обычный"/>
        <w:widowControl w:val="0"/>
        <w:suppressAutoHyphens w:val="1"/>
        <w:spacing w:after="0" w:line="240" w:lineRule="auto"/>
        <w:ind w:firstLine="567"/>
        <w:jc w:val="both"/>
        <w:rPr>
          <w:rFonts w:ascii="Calibri" w:cs="Calibri" w:hAnsi="Calibri" w:eastAsia="Calibri"/>
          <w:b w:val="1"/>
          <w:bCs w:val="1"/>
          <w:sz w:val="24"/>
          <w:szCs w:val="24"/>
        </w:rPr>
      </w:pPr>
    </w:p>
    <w:p>
      <w:pPr>
        <w:pStyle w:val="Обычный"/>
        <w:tabs>
          <w:tab w:val="left" w:pos="3973"/>
        </w:tabs>
        <w:suppressAutoHyphens w:val="1"/>
        <w:spacing w:after="0" w:line="240" w:lineRule="auto"/>
        <w:rPr>
          <w:rFonts w:ascii="Calibri" w:cs="Calibri" w:hAnsi="Calibri" w:eastAsia="Calibri"/>
          <w:sz w:val="24"/>
          <w:szCs w:val="24"/>
        </w:rPr>
      </w:pPr>
      <w:r>
        <w:rPr>
          <w:rFonts w:ascii="Calibri" w:cs="Calibri" w:hAnsi="Calibri" w:eastAsia="Calibri"/>
          <w:sz w:val="24"/>
          <w:szCs w:val="24"/>
          <w:rtl w:val="0"/>
        </w:rPr>
        <w:tab/>
      </w:r>
    </w:p>
    <w:p>
      <w:pPr>
        <w:pStyle w:val="Обычный"/>
        <w:widowControl w:val="0"/>
        <w:suppressAutoHyphens w:val="1"/>
        <w:spacing w:after="0" w:line="240" w:lineRule="auto"/>
        <w:ind w:firstLine="567"/>
        <w:jc w:val="both"/>
        <w:rPr>
          <w:rFonts w:ascii="Calibri" w:cs="Calibri" w:hAnsi="Calibri" w:eastAsia="Calibri"/>
          <w:b w:val="1"/>
          <w:bCs w:val="1"/>
          <w:sz w:val="24"/>
          <w:szCs w:val="24"/>
        </w:rPr>
      </w:pPr>
      <w:r>
        <w:rPr>
          <w:rFonts w:ascii="Calibri"/>
          <w:b w:val="1"/>
          <w:bCs w:val="1"/>
          <w:sz w:val="24"/>
          <w:szCs w:val="24"/>
          <w:rtl w:val="0"/>
          <w:lang w:val="ru-RU"/>
        </w:rPr>
        <w:t xml:space="preserve">8. </w:t>
      </w:r>
      <w:r>
        <w:rPr>
          <w:rFonts w:hAnsi="Calibri" w:hint="default"/>
          <w:b w:val="1"/>
          <w:bCs w:val="1"/>
          <w:sz w:val="24"/>
          <w:szCs w:val="24"/>
          <w:rtl w:val="0"/>
          <w:lang w:val="ru-RU"/>
        </w:rPr>
        <w:t>Предложения</w:t>
      </w:r>
    </w:p>
    <w:tbl>
      <w:tblPr>
        <w:tblW w:w="9639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996"/>
        <w:gridCol w:w="3583"/>
        <w:gridCol w:w="2530"/>
        <w:gridCol w:w="2530"/>
      </w:tblGrid>
      <w:tr>
        <w:tblPrEx>
          <w:shd w:val="clear" w:color="auto" w:fill="auto"/>
        </w:tblPrEx>
        <w:trPr>
          <w:trHeight w:val="552" w:hRule="atLeast"/>
        </w:trPr>
        <w:tc>
          <w:tcPr>
            <w:tcW w:type="dxa" w:w="996"/>
            <w:tcBorders>
              <w:top w:val="nil"/>
              <w:left w:val="nil"/>
              <w:bottom w:val="single" w:color="000000" w:sz="4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  <w:rPr>
                <w:rFonts w:ascii="Calibri" w:cs="Calibri" w:hAnsi="Calibri" w:eastAsia="Calibri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</w:pPr>
            <w:r>
              <w:rPr>
                <w:rFonts w:hAnsi="Calibri" w:hint="default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</w:t>
            </w:r>
          </w:p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hAnsi="Calibri" w:hint="default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</w:t>
            </w:r>
            <w:r>
              <w:rPr>
                <w:rFonts w:ascii="Calibri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/</w:t>
            </w:r>
            <w:r>
              <w:rPr>
                <w:rFonts w:hAnsi="Calibri" w:hint="default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</w:t>
            </w:r>
          </w:p>
        </w:tc>
        <w:tc>
          <w:tcPr>
            <w:tcW w:type="dxa" w:w="3583"/>
            <w:tcBorders>
              <w:top w:val="nil"/>
              <w:left w:val="nil"/>
              <w:bottom w:val="single" w:color="000000" w:sz="4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hAnsi="Calibri" w:hint="default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Наименование участника лота аукциона</w:t>
            </w:r>
          </w:p>
        </w:tc>
        <w:tc>
          <w:tcPr>
            <w:tcW w:type="dxa" w:w="2530"/>
            <w:tcBorders>
              <w:top w:val="nil"/>
              <w:left w:val="nil"/>
              <w:bottom w:val="single" w:color="000000" w:sz="4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hAnsi="Calibri" w:hint="default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Место нахождения</w:t>
            </w:r>
          </w:p>
        </w:tc>
        <w:tc>
          <w:tcPr>
            <w:tcW w:type="dxa" w:w="2530"/>
            <w:tcBorders>
              <w:top w:val="nil"/>
              <w:left w:val="nil"/>
              <w:bottom w:val="single" w:color="000000" w:sz="4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hAnsi="Calibri" w:hint="default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Цена</w:t>
            </w:r>
            <w:r>
              <w:rPr>
                <w:rFonts w:ascii="Calibri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rFonts w:hAnsi="Calibri" w:hint="default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предложенная участником</w:t>
            </w:r>
          </w:p>
        </w:tc>
      </w:tr>
      <w:tr>
        <w:tblPrEx>
          <w:shd w:val="clear" w:color="auto" w:fill="auto"/>
        </w:tblPrEx>
        <w:trPr>
          <w:trHeight w:val="505" w:hRule="atLeast"/>
        </w:trPr>
        <w:tc>
          <w:tcPr>
            <w:tcW w:type="dxa" w:w="996"/>
            <w:tcBorders>
              <w:top w:val="single" w:color="000000" w:sz="4" w:space="0" w:shadow="0" w:frame="0"/>
              <w:left w:val="nil"/>
              <w:bottom w:val="single" w:color="000000" w:sz="4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1.</w:t>
            </w:r>
          </w:p>
        </w:tc>
        <w:tc>
          <w:tcPr>
            <w:tcW w:type="dxa" w:w="3583"/>
            <w:tcBorders>
              <w:top w:val="single" w:color="000000" w:sz="4" w:space="0" w:shadow="0" w:frame="0"/>
              <w:left w:val="nil"/>
              <w:bottom w:val="single" w:color="000000" w:sz="4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Глеков Сергей Александрович</w:t>
            </w:r>
          </w:p>
        </w:tc>
        <w:tc>
          <w:tcPr>
            <w:tcW w:type="dxa" w:w="2530"/>
            <w:tcBorders>
              <w:top w:val="single" w:color="000000" w:sz="4" w:space="0" w:shadow="0" w:frame="0"/>
              <w:left w:val="nil"/>
              <w:bottom w:val="single" w:color="000000" w:sz="4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</w:t>
            </w:r>
          </w:p>
        </w:tc>
        <w:tc>
          <w:tcPr>
            <w:tcW w:type="dxa" w:w="2530"/>
            <w:tcBorders>
              <w:top w:val="single" w:color="000000" w:sz="4" w:space="0" w:shadow="0" w:frame="0"/>
              <w:left w:val="nil"/>
              <w:bottom w:val="single" w:color="000000" w:sz="4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tl w:val="0"/>
                <w:lang w:val="ru-RU"/>
              </w:rPr>
              <w:t xml:space="preserve">55555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руб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auto"/>
        </w:tblPrEx>
        <w:trPr>
          <w:trHeight w:val="1505" w:hRule="atLeast"/>
        </w:trPr>
        <w:tc>
          <w:tcPr>
            <w:tcW w:type="dxa" w:w="996"/>
            <w:tcBorders>
              <w:top w:val="single" w:color="000000" w:sz="4" w:space="0" w:shadow="0" w:frame="0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ascii="Arial Unicode MS"/>
                <w:rtl w:val="0"/>
              </w:rPr>
              <w:t>2.</w:t>
            </w:r>
          </w:p>
        </w:tc>
        <w:tc>
          <w:tcPr>
            <w:tcW w:type="dxa" w:w="3583"/>
            <w:tcBorders>
              <w:top w:val="single" w:color="000000" w:sz="4" w:space="0" w:shadow="0" w:frame="0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hAnsi="Arial Unicode MS" w:hint="default"/>
                <w:rtl w:val="0"/>
              </w:rPr>
              <w:t>ООО «СКАНАВТО»</w:t>
            </w:r>
          </w:p>
        </w:tc>
        <w:tc>
          <w:tcPr>
            <w:tcW w:type="dxa" w:w="2530"/>
            <w:tcBorders>
              <w:top w:val="single" w:color="000000" w:sz="4" w:space="0" w:shadow="0" w:frame="0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ascii="Arial Unicode MS"/>
                <w:rtl w:val="0"/>
              </w:rPr>
              <w:t xml:space="preserve">141151, </w:t>
            </w:r>
            <w:r>
              <w:rPr>
                <w:rFonts w:hAnsi="Arial Unicode MS" w:hint="default"/>
                <w:rtl w:val="0"/>
              </w:rPr>
              <w:t>Московская область</w:t>
            </w:r>
            <w:r>
              <w:rPr>
                <w:rFonts w:ascii="Arial Unicode MS"/>
                <w:rtl w:val="0"/>
              </w:rPr>
              <w:t xml:space="preserve">, </w:t>
            </w:r>
            <w:r>
              <w:rPr>
                <w:rFonts w:hAnsi="Arial Unicode MS" w:hint="default"/>
                <w:rtl w:val="0"/>
              </w:rPr>
              <w:t>г</w:t>
            </w:r>
            <w:r>
              <w:rPr>
                <w:rFonts w:ascii="Arial Unicode MS"/>
                <w:rtl w:val="0"/>
              </w:rPr>
              <w:t xml:space="preserve">. </w:t>
            </w:r>
            <w:r>
              <w:rPr>
                <w:rFonts w:hAnsi="Arial Unicode MS" w:hint="default"/>
                <w:rtl w:val="0"/>
              </w:rPr>
              <w:t>Лосино</w:t>
            </w:r>
            <w:r>
              <w:rPr>
                <w:rFonts w:ascii="Arial Unicode MS"/>
                <w:rtl w:val="0"/>
              </w:rPr>
              <w:t>-</w:t>
            </w:r>
            <w:r>
              <w:rPr>
                <w:rFonts w:hAnsi="Arial Unicode MS" w:hint="default"/>
                <w:rtl w:val="0"/>
              </w:rPr>
              <w:t>Петровский</w:t>
            </w:r>
            <w:r>
              <w:rPr>
                <w:rFonts w:ascii="Arial Unicode MS"/>
                <w:rtl w:val="0"/>
              </w:rPr>
              <w:t xml:space="preserve">, </w:t>
            </w:r>
            <w:r>
              <w:rPr>
                <w:rFonts w:hAnsi="Arial Unicode MS" w:hint="default"/>
                <w:rtl w:val="0"/>
              </w:rPr>
              <w:t>ул</w:t>
            </w:r>
            <w:r>
              <w:rPr>
                <w:rFonts w:ascii="Arial Unicode MS"/>
                <w:rtl w:val="0"/>
              </w:rPr>
              <w:t xml:space="preserve">. </w:t>
            </w:r>
            <w:r>
              <w:rPr>
                <w:rFonts w:hAnsi="Arial Unicode MS" w:hint="default"/>
                <w:rtl w:val="0"/>
              </w:rPr>
              <w:t>Строителей</w:t>
            </w:r>
            <w:r>
              <w:rPr>
                <w:rFonts w:ascii="Arial Unicode MS"/>
                <w:rtl w:val="0"/>
              </w:rPr>
              <w:t xml:space="preserve">, </w:t>
            </w:r>
            <w:r>
              <w:rPr>
                <w:rFonts w:hAnsi="Arial Unicode MS" w:hint="default"/>
                <w:rtl w:val="0"/>
              </w:rPr>
              <w:t xml:space="preserve">дом </w:t>
            </w:r>
            <w:r>
              <w:rPr>
                <w:rFonts w:ascii="Arial Unicode MS"/>
                <w:rtl w:val="0"/>
              </w:rPr>
              <w:t xml:space="preserve">8, </w:t>
            </w:r>
            <w:r>
              <w:rPr>
                <w:rFonts w:hAnsi="Arial Unicode MS" w:hint="default"/>
                <w:rtl w:val="0"/>
              </w:rPr>
              <w:t xml:space="preserve">помещение </w:t>
            </w:r>
            <w:r>
              <w:rPr>
                <w:rFonts w:ascii="Arial Unicode MS"/>
                <w:rtl w:val="0"/>
              </w:rPr>
              <w:t>v</w:t>
            </w:r>
          </w:p>
        </w:tc>
        <w:tc>
          <w:tcPr>
            <w:tcW w:type="dxa" w:w="2530"/>
            <w:tcBorders>
              <w:top w:val="single" w:color="000000" w:sz="4" w:space="0" w:shadow="0" w:frame="0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uppressAutoHyphens w:val="1"/>
              <w:spacing w:after="0" w:line="240" w:lineRule="auto"/>
              <w:jc w:val="center"/>
            </w:pPr>
            <w:r>
              <w:rPr>
                <w:rFonts w:ascii="Arial Unicode MS"/>
                <w:rtl w:val="0"/>
              </w:rPr>
              <w:t xml:space="preserve">60000 </w:t>
            </w:r>
            <w:r>
              <w:rPr>
                <w:rFonts w:hAnsi="Arial Unicode MS" w:hint="default"/>
                <w:rtl w:val="0"/>
              </w:rPr>
              <w:t>руб</w:t>
            </w:r>
            <w:r>
              <w:rPr>
                <w:rFonts w:ascii="Arial Unicode MS"/>
                <w:rtl w:val="0"/>
              </w:rPr>
              <w:t>.</w:t>
            </w:r>
          </w:p>
        </w:tc>
      </w:tr>
    </w:tbl>
    <w:p>
      <w:pPr>
        <w:pStyle w:val="Обычный"/>
        <w:widowControl w:val="0"/>
        <w:suppressAutoHyphens w:val="1"/>
        <w:spacing w:after="0" w:line="240" w:lineRule="auto"/>
        <w:ind w:firstLine="567"/>
        <w:jc w:val="both"/>
        <w:rPr>
          <w:rFonts w:ascii="Calibri" w:cs="Calibri" w:hAnsi="Calibri" w:eastAsia="Calibri"/>
          <w:b w:val="1"/>
          <w:bCs w:val="1"/>
          <w:sz w:val="24"/>
          <w:szCs w:val="24"/>
        </w:rPr>
      </w:pPr>
    </w:p>
    <w:p>
      <w:pPr>
        <w:pStyle w:val="Обычный"/>
        <w:widowControl w:val="0"/>
        <w:suppressAutoHyphens w:val="1"/>
        <w:spacing w:after="0" w:line="240" w:lineRule="auto"/>
        <w:ind w:firstLine="567"/>
        <w:jc w:val="both"/>
        <w:rPr>
          <w:rFonts w:ascii="Calibri" w:cs="Calibri" w:hAnsi="Calibri" w:eastAsia="Calibri"/>
          <w:sz w:val="24"/>
          <w:szCs w:val="24"/>
        </w:rPr>
      </w:pPr>
    </w:p>
    <w:p>
      <w:pPr>
        <w:pStyle w:val="Обычный"/>
        <w:widowControl w:val="0"/>
        <w:suppressAutoHyphens w:val="1"/>
        <w:spacing w:after="0" w:line="240" w:lineRule="auto"/>
        <w:ind w:firstLine="567"/>
        <w:jc w:val="both"/>
        <w:rPr>
          <w:rFonts w:ascii="Calibri" w:cs="Calibri" w:hAnsi="Calibri" w:eastAsia="Calibri"/>
          <w:sz w:val="24"/>
          <w:szCs w:val="24"/>
        </w:rPr>
      </w:pPr>
    </w:p>
    <w:p>
      <w:pPr>
        <w:pStyle w:val="Обычный"/>
        <w:widowControl w:val="0"/>
        <w:suppressAutoHyphens w:val="1"/>
        <w:spacing w:after="0" w:line="240" w:lineRule="auto"/>
        <w:jc w:val="center"/>
        <w:rPr>
          <w:rFonts w:ascii="Calibri" w:cs="Calibri" w:hAnsi="Calibri" w:eastAsia="Calibri"/>
          <w:b w:val="1"/>
          <w:bCs w:val="1"/>
          <w:sz w:val="24"/>
          <w:szCs w:val="24"/>
        </w:rPr>
      </w:pPr>
      <w:r>
        <w:rPr>
          <w:rFonts w:hAnsi="Calibri" w:hint="default"/>
          <w:b w:val="1"/>
          <w:bCs w:val="1"/>
          <w:sz w:val="24"/>
          <w:szCs w:val="24"/>
          <w:rtl w:val="0"/>
          <w:lang w:val="ru-RU"/>
        </w:rPr>
        <w:t xml:space="preserve">Победителем открытого аукциона в форме публичного предложения по продаже лота № </w:t>
      </w:r>
      <w:r>
        <w:rPr>
          <w:rFonts w:ascii="Calibri"/>
          <w:b w:val="1"/>
          <w:bCs w:val="1"/>
          <w:sz w:val="24"/>
          <w:szCs w:val="24"/>
          <w:rtl w:val="0"/>
          <w:lang w:val="ru-RU"/>
        </w:rPr>
        <w:t>8</w:t>
      </w:r>
      <w:r>
        <w:rPr>
          <w:rFonts w:ascii="Calibri"/>
          <w:b w:val="1"/>
          <w:bCs w:val="1"/>
          <w:sz w:val="24"/>
          <w:szCs w:val="24"/>
          <w:rtl w:val="0"/>
          <w:lang w:val="ru-RU"/>
        </w:rPr>
        <w:t xml:space="preserve">  - </w:t>
      </w:r>
      <w:r>
        <w:rPr>
          <w:rFonts w:hAnsi="Calibri" w:hint="default"/>
          <w:b w:val="1"/>
          <w:bCs w:val="1"/>
          <w:sz w:val="24"/>
          <w:szCs w:val="24"/>
          <w:rtl w:val="0"/>
          <w:lang w:val="ru-RU"/>
        </w:rPr>
        <w:t xml:space="preserve">имущества Должника ООО «Техновест» является </w:t>
      </w:r>
      <w:r>
        <w:rPr>
          <w:rFonts w:hAnsi="Calibri" w:hint="default"/>
          <w:b w:val="1"/>
          <w:bCs w:val="1"/>
          <w:sz w:val="24"/>
          <w:szCs w:val="24"/>
          <w:rtl w:val="0"/>
          <w:lang w:val="ru-RU"/>
        </w:rPr>
        <w:t>ООО «СКАНАВТО»</w:t>
      </w:r>
    </w:p>
    <w:p>
      <w:pPr>
        <w:pStyle w:val="Обычный"/>
        <w:widowControl w:val="0"/>
        <w:suppressAutoHyphens w:val="1"/>
        <w:spacing w:after="0" w:line="240" w:lineRule="auto"/>
        <w:ind w:firstLine="567"/>
        <w:jc w:val="both"/>
        <w:rPr>
          <w:rFonts w:ascii="Calibri" w:cs="Calibri" w:hAnsi="Calibri" w:eastAsia="Calibri"/>
          <w:sz w:val="24"/>
          <w:szCs w:val="24"/>
        </w:rPr>
      </w:pPr>
    </w:p>
    <w:p>
      <w:pPr>
        <w:pStyle w:val="Обычный"/>
        <w:widowControl w:val="0"/>
        <w:suppressAutoHyphens w:val="1"/>
        <w:spacing w:after="0" w:line="240" w:lineRule="auto"/>
        <w:ind w:firstLine="567"/>
        <w:jc w:val="both"/>
        <w:rPr>
          <w:rFonts w:ascii="Calibri" w:cs="Calibri" w:hAnsi="Calibri" w:eastAsia="Calibri"/>
          <w:sz w:val="24"/>
          <w:szCs w:val="24"/>
        </w:rPr>
      </w:pPr>
    </w:p>
    <w:p>
      <w:pPr>
        <w:pStyle w:val="Обычный"/>
        <w:widowControl w:val="0"/>
        <w:suppressAutoHyphens w:val="1"/>
        <w:spacing w:after="0" w:line="240" w:lineRule="auto"/>
        <w:ind w:firstLine="567"/>
        <w:jc w:val="both"/>
        <w:rPr>
          <w:rFonts w:ascii="Calibri" w:cs="Calibri" w:hAnsi="Calibri" w:eastAsia="Calibri"/>
          <w:sz w:val="24"/>
          <w:szCs w:val="24"/>
        </w:rPr>
      </w:pPr>
      <w:r>
        <w:rPr>
          <w:rFonts w:hAnsi="Calibri" w:hint="default"/>
          <w:sz w:val="24"/>
          <w:szCs w:val="24"/>
          <w:rtl w:val="0"/>
          <w:lang w:val="ru-RU"/>
        </w:rPr>
        <w:t>Настоящий протокол создан в электронной форме оператором электронной площадки ООО «Евразийская торговая площадка»</w:t>
      </w:r>
      <w:r>
        <w:rPr>
          <w:rFonts w:ascii="Calibri"/>
          <w:sz w:val="24"/>
          <w:szCs w:val="24"/>
          <w:rtl w:val="0"/>
          <w:lang w:val="ru-RU"/>
        </w:rPr>
        <w:t xml:space="preserve">. </w:t>
      </w:r>
    </w:p>
    <w:p>
      <w:pPr>
        <w:pStyle w:val="Обычный"/>
        <w:widowControl w:val="0"/>
        <w:suppressAutoHyphens w:val="1"/>
        <w:spacing w:after="0" w:line="240" w:lineRule="auto"/>
        <w:ind w:firstLine="567"/>
        <w:jc w:val="both"/>
        <w:rPr>
          <w:rFonts w:ascii="Calibri" w:cs="Calibri" w:hAnsi="Calibri" w:eastAsia="Calibri"/>
          <w:sz w:val="24"/>
          <w:szCs w:val="24"/>
        </w:rPr>
      </w:pPr>
      <w:r>
        <w:rPr>
          <w:rFonts w:hAnsi="Calibri" w:hint="default"/>
          <w:sz w:val="24"/>
          <w:szCs w:val="24"/>
          <w:rtl w:val="0"/>
          <w:lang w:val="ru-RU"/>
        </w:rPr>
        <w:t xml:space="preserve">Настоящий протокол подлежит хранению на ЭТП в течение </w:t>
      </w:r>
      <w:r>
        <w:rPr>
          <w:rFonts w:ascii="Calibri"/>
          <w:sz w:val="24"/>
          <w:szCs w:val="24"/>
          <w:rtl w:val="0"/>
          <w:lang w:val="ru-RU"/>
        </w:rPr>
        <w:t>10 (</w:t>
      </w:r>
      <w:r>
        <w:rPr>
          <w:rFonts w:hAnsi="Calibri" w:hint="default"/>
          <w:sz w:val="24"/>
          <w:szCs w:val="24"/>
          <w:rtl w:val="0"/>
          <w:lang w:val="ru-RU"/>
        </w:rPr>
        <w:t>десяти</w:t>
      </w:r>
      <w:r>
        <w:rPr>
          <w:rFonts w:ascii="Calibri"/>
          <w:sz w:val="24"/>
          <w:szCs w:val="24"/>
          <w:rtl w:val="0"/>
          <w:lang w:val="ru-RU"/>
        </w:rPr>
        <w:t xml:space="preserve">) </w:t>
      </w:r>
      <w:r>
        <w:rPr>
          <w:rFonts w:hAnsi="Calibri" w:hint="default"/>
          <w:sz w:val="24"/>
          <w:szCs w:val="24"/>
          <w:rtl w:val="0"/>
          <w:lang w:val="ru-RU"/>
        </w:rPr>
        <w:t>лет с даты проведения настоящего аукциона</w:t>
      </w:r>
      <w:r>
        <w:rPr>
          <w:rFonts w:ascii="Calibri"/>
          <w:sz w:val="24"/>
          <w:szCs w:val="24"/>
          <w:rtl w:val="0"/>
          <w:lang w:val="ru-RU"/>
        </w:rPr>
        <w:t>.</w:t>
      </w:r>
      <w:r>
        <w:rPr>
          <w:rFonts w:hAnsi="Calibri" w:hint="default"/>
          <w:sz w:val="24"/>
          <w:szCs w:val="24"/>
          <w:rtl w:val="0"/>
          <w:lang w:val="ru-RU"/>
        </w:rPr>
        <w:t> </w:t>
      </w:r>
    </w:p>
    <w:p>
      <w:pPr>
        <w:pStyle w:val="Обычный"/>
        <w:widowControl w:val="0"/>
        <w:suppressAutoHyphens w:val="1"/>
        <w:spacing w:after="0" w:line="240" w:lineRule="auto"/>
        <w:ind w:firstLine="567"/>
        <w:jc w:val="both"/>
        <w:rPr>
          <w:rFonts w:ascii="Calibri" w:cs="Calibri" w:hAnsi="Calibri" w:eastAsia="Calibri"/>
          <w:sz w:val="24"/>
          <w:szCs w:val="24"/>
        </w:rPr>
      </w:pPr>
    </w:p>
    <w:p>
      <w:pPr>
        <w:pStyle w:val="Обычный"/>
        <w:widowControl w:val="0"/>
        <w:suppressAutoHyphens w:val="1"/>
        <w:spacing w:after="0" w:line="240" w:lineRule="auto"/>
        <w:jc w:val="center"/>
        <w:rPr>
          <w:rFonts w:ascii="Calibri" w:cs="Calibri" w:hAnsi="Calibri" w:eastAsia="Calibri"/>
          <w:b w:val="1"/>
          <w:bCs w:val="1"/>
          <w:sz w:val="24"/>
          <w:szCs w:val="24"/>
        </w:rPr>
      </w:pPr>
      <w:r>
        <w:rPr>
          <w:rFonts w:hAnsi="Calibri" w:hint="default"/>
          <w:b w:val="1"/>
          <w:bCs w:val="1"/>
          <w:sz w:val="24"/>
          <w:szCs w:val="24"/>
          <w:rtl w:val="0"/>
          <w:lang w:val="ru-RU"/>
        </w:rPr>
        <w:t>Общество с ограниченной ответственностью</w:t>
      </w:r>
    </w:p>
    <w:p>
      <w:pPr>
        <w:pStyle w:val="Обычный"/>
        <w:widowControl w:val="0"/>
        <w:suppressAutoHyphens w:val="1"/>
        <w:spacing w:after="0" w:line="240" w:lineRule="auto"/>
        <w:jc w:val="center"/>
        <w:rPr>
          <w:rFonts w:ascii="Calibri" w:cs="Calibri" w:hAnsi="Calibri" w:eastAsia="Calibri"/>
          <w:b w:val="1"/>
          <w:bCs w:val="1"/>
          <w:sz w:val="24"/>
          <w:szCs w:val="24"/>
        </w:rPr>
      </w:pPr>
      <w:r>
        <w:rPr>
          <w:rFonts w:ascii="Calibri"/>
          <w:b w:val="1"/>
          <w:bCs w:val="1"/>
          <w:sz w:val="24"/>
          <w:szCs w:val="24"/>
          <w:rtl w:val="0"/>
          <w:lang w:val="ru-RU"/>
        </w:rPr>
        <w:t>"</w:t>
      </w:r>
      <w:r>
        <w:rPr>
          <w:rFonts w:hAnsi="Calibri" w:hint="default"/>
          <w:b w:val="1"/>
          <w:bCs w:val="1"/>
          <w:sz w:val="24"/>
          <w:szCs w:val="24"/>
          <w:rtl w:val="0"/>
          <w:lang w:val="ru-RU"/>
        </w:rPr>
        <w:t xml:space="preserve">Консалтинговая фирма </w:t>
      </w:r>
      <w:r>
        <w:rPr>
          <w:rFonts w:ascii="Calibri"/>
          <w:b w:val="1"/>
          <w:bCs w:val="1"/>
          <w:sz w:val="24"/>
          <w:szCs w:val="24"/>
          <w:rtl w:val="0"/>
          <w:lang w:val="ru-RU"/>
        </w:rPr>
        <w:t>"</w:t>
      </w:r>
      <w:r>
        <w:rPr>
          <w:rFonts w:hAnsi="Calibri" w:hint="default"/>
          <w:b w:val="1"/>
          <w:bCs w:val="1"/>
          <w:sz w:val="24"/>
          <w:szCs w:val="24"/>
          <w:rtl w:val="0"/>
          <w:lang w:val="ru-RU"/>
        </w:rPr>
        <w:t>Технологии антикризисного менеджмента</w:t>
      </w:r>
      <w:r>
        <w:rPr>
          <w:rFonts w:ascii="Calibri"/>
          <w:b w:val="1"/>
          <w:bCs w:val="1"/>
          <w:sz w:val="24"/>
          <w:szCs w:val="24"/>
          <w:rtl w:val="0"/>
          <w:lang w:val="ru-RU"/>
        </w:rPr>
        <w:t>"</w:t>
      </w:r>
    </w:p>
    <w:p>
      <w:pPr>
        <w:pStyle w:val="Обычный"/>
        <w:widowControl w:val="0"/>
        <w:suppressAutoHyphens w:val="1"/>
        <w:spacing w:after="0" w:line="240" w:lineRule="auto"/>
        <w:jc w:val="center"/>
        <w:rPr>
          <w:rFonts w:ascii="Calibri" w:cs="Calibri" w:hAnsi="Calibri" w:eastAsia="Calibri"/>
          <w:b w:val="1"/>
          <w:bCs w:val="1"/>
          <w:sz w:val="24"/>
          <w:szCs w:val="24"/>
        </w:rPr>
      </w:pPr>
    </w:p>
    <w:p>
      <w:pPr>
        <w:pStyle w:val="Обычный"/>
        <w:widowControl w:val="0"/>
        <w:suppressAutoHyphens w:val="1"/>
        <w:spacing w:after="0" w:line="240" w:lineRule="auto"/>
        <w:jc w:val="center"/>
        <w:rPr>
          <w:rFonts w:ascii="Calibri" w:cs="Calibri" w:hAnsi="Calibri" w:eastAsia="Calibri"/>
          <w:b w:val="1"/>
          <w:bCs w:val="1"/>
          <w:sz w:val="24"/>
          <w:szCs w:val="24"/>
        </w:rPr>
      </w:pPr>
    </w:p>
    <w:p>
      <w:pPr>
        <w:pStyle w:val="Обычный"/>
        <w:widowControl w:val="0"/>
        <w:suppressAutoHyphens w:val="1"/>
        <w:spacing w:after="0" w:line="240" w:lineRule="auto"/>
        <w:jc w:val="center"/>
      </w:pPr>
      <w:r>
        <w:rPr>
          <w:rFonts w:ascii="Calibri"/>
          <w:b w:val="1"/>
          <w:bCs w:val="1"/>
          <w:sz w:val="24"/>
          <w:szCs w:val="24"/>
          <w:rtl w:val="0"/>
          <w:lang w:val="ru-RU"/>
        </w:rPr>
        <w:t xml:space="preserve">_______________ </w:t>
      </w:r>
      <w:r>
        <w:rPr>
          <w:rFonts w:hAnsi="Calibri" w:hint="default"/>
          <w:b w:val="1"/>
          <w:bCs w:val="1"/>
          <w:sz w:val="24"/>
          <w:szCs w:val="24"/>
          <w:rtl w:val="0"/>
          <w:lang w:val="ru-RU"/>
        </w:rPr>
        <w:t>Рысин Владимир Викторович</w:t>
      </w:r>
      <w:r>
        <w:rPr>
          <w:rFonts w:ascii="Calibri" w:cs="Calibri" w:hAnsi="Calibri" w:eastAsia="Calibri"/>
          <w:b w:val="1"/>
          <w:bCs w:val="1"/>
          <w:sz w:val="24"/>
          <w:szCs w:val="24"/>
        </w:rPr>
        <w:br w:type="textWrapping"/>
      </w:r>
      <w:r>
        <w:rPr>
          <w:rFonts w:ascii="Calibri" w:cs="Calibri" w:hAnsi="Calibri" w:eastAsia="Calibri"/>
          <w:b w:val="1"/>
          <w:bCs w:val="1"/>
          <w:sz w:val="24"/>
          <w:szCs w:val="24"/>
        </w:rPr>
        <w:br w:type="page"/>
      </w:r>
    </w:p>
    <w:p>
      <w:pPr>
        <w:pStyle w:val="Обычный"/>
        <w:widowControl w:val="0"/>
        <w:suppressAutoHyphens w:val="1"/>
        <w:spacing w:after="0" w:line="240" w:lineRule="auto"/>
        <w:jc w:val="center"/>
      </w:pPr>
      <w:r>
        <w:rPr>
          <w:rFonts w:ascii="Calibri" w:cs="Calibri" w:hAnsi="Calibri" w:eastAsia="Calibri"/>
          <w:b w:val="1"/>
          <w:bCs w:val="1"/>
          <w:sz w:val="24"/>
          <w:szCs w:val="24"/>
        </w:rPr>
        <w:br w:type="page"/>
      </w:r>
    </w:p>
    <w:p>
      <w:pPr>
        <w:pStyle w:val="Обычный"/>
        <w:widowControl w:val="0"/>
        <w:suppressAutoHyphens w:val="1"/>
        <w:spacing w:after="0" w:line="240" w:lineRule="auto"/>
        <w:jc w:val="center"/>
      </w:pPr>
      <w:r>
        <w:rPr>
          <w:rFonts w:ascii="Calibri" w:cs="Calibri" w:hAnsi="Calibri" w:eastAsia="Calibri"/>
          <w:b w:val="1"/>
          <w:bCs w:val="1"/>
          <w:sz w:val="24"/>
          <w:szCs w:val="24"/>
        </w:rPr>
        <w:br w:type="page"/>
      </w:r>
    </w:p>
    <w:p>
      <w:pPr>
        <w:pStyle w:val="Обычный"/>
        <w:widowControl w:val="0"/>
        <w:suppressAutoHyphens w:val="1"/>
        <w:spacing w:after="0" w:line="240" w:lineRule="auto"/>
        <w:jc w:val="center"/>
      </w:pPr>
    </w:p>
    <w:sectPr>
      <w:headerReference w:type="default" r:id="rId5"/>
      <w:headerReference w:type="first" r:id="rId6"/>
      <w:footerReference w:type="default" r:id="rId7"/>
      <w:footerReference w:type="first" r:id="rId8"/>
      <w:pgSz w:w="11900" w:h="16840" w:orient="portrait"/>
      <w:pgMar w:top="851" w:right="851" w:bottom="851" w:left="1134" w:header="709" w:footer="709"/>
      <w:titlePg w:val="1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Calibri">
    <w:charset w:val="00"/>
    <w:family w:val="roman"/>
    <w:pitch w:val="default"/>
  </w:font>
  <w:font w:name="Helvetic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Колонтитулы"/>
      <w:bidi w:val="0"/>
    </w:pPr>
    <w:r/>
  </w:p>
</w:ftr>
</file>

<file path=word/footer2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Верхний колонтитул"/>
      <w:tabs>
        <w:tab w:val="clear" w:pos="4677"/>
        <w:tab w:val="clear" w:pos="9355"/>
      </w:tabs>
      <w:spacing w:line="360" w:lineRule="auto"/>
      <w:jc w:val="right"/>
    </w:pPr>
    <w:r>
      <w:rPr>
        <w:rFonts w:ascii="Calibri"/>
        <w:b w:val="1"/>
        <w:bCs w:val="1"/>
        <w:i w:val="1"/>
        <w:iCs w:val="1"/>
        <w:sz w:val="24"/>
        <w:szCs w:val="24"/>
        <w:rtl w:val="0"/>
      </w:rPr>
      <w:fldChar w:fldCharType="begin" w:fldLock="0"/>
    </w:r>
    <w:r>
      <w:rPr>
        <w:rFonts w:ascii="Calibri"/>
        <w:b w:val="1"/>
        <w:bCs w:val="1"/>
        <w:i w:val="1"/>
        <w:iCs w:val="1"/>
        <w:sz w:val="24"/>
        <w:szCs w:val="24"/>
        <w:rtl w:val="0"/>
      </w:rPr>
      <w:t xml:space="preserve"> PAGE </w:t>
    </w:r>
    <w:r>
      <w:rPr>
        <w:rFonts w:ascii="Calibri"/>
        <w:b w:val="1"/>
        <w:bCs w:val="1"/>
        <w:i w:val="1"/>
        <w:iCs w:val="1"/>
        <w:sz w:val="24"/>
        <w:szCs w:val="24"/>
        <w:rtl w:val="0"/>
      </w:rPr>
      <w:fldChar w:fldCharType="separate" w:fldLock="0"/>
    </w:r>
    <w:r>
      <w:rPr>
        <w:rFonts w:ascii="Calibri"/>
        <w:b w:val="1"/>
        <w:bCs w:val="1"/>
        <w:i w:val="1"/>
        <w:iCs w:val="1"/>
        <w:sz w:val="24"/>
        <w:szCs w:val="24"/>
        <w:rtl w:val="0"/>
      </w:rPr>
      <w:t>2</w:t>
    </w:r>
    <w:r>
      <w:rPr>
        <w:rFonts w:ascii="Calibri"/>
        <w:b w:val="1"/>
        <w:bCs w:val="1"/>
        <w:i w:val="1"/>
        <w:iCs w:val="1"/>
        <w:sz w:val="24"/>
        <w:szCs w:val="24"/>
        <w:rtl w:val="0"/>
      </w:rPr>
      <w:fldChar w:fldCharType="end" w:fldLock="0"/>
    </w:r>
  </w:p>
</w:hdr>
</file>

<file path=word/header2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Колонтитулы"/>
      <w:bidi w:val="0"/>
    </w:pPr>
    <w:r/>
  </w:p>
</w:hdr>
</file>

<file path=word/settings.xml><?xml version="1.0" encoding="utf-8"?>
<w:settings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397"/>
  <w:autoHyphenation w:val="1"/>
  <w:evenAndOddHeaders w:val="0"/>
  <w:bookFoldPrinting w:val="0"/>
  <w:noLineBreaksAfter w:lang="" w:val="‘“(〔[{〈《「『【⦅〘〖«〝︵︷︹︻︽︿﹁﹃﹇﹙﹛﹝｢"/>
  <w:noLineBreaksBefore w:lang="" w:val="’”)〕]}〉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Верхний колонтитул">
    <w:name w:val="Верхний колонтитул"/>
    <w:next w:val="Верхний колонтитул"/>
    <w:pPr>
      <w:keepNext w:val="0"/>
      <w:keepLines w:val="0"/>
      <w:pageBreakBefore w:val="0"/>
      <w:widowControl w:val="1"/>
      <w:pBdr>
        <w:top w:val="nil"/>
        <w:left w:val="nil"/>
        <w:bottom w:val="nil"/>
        <w:right w:val="nil"/>
      </w:pBdr>
      <w:shd w:val="clear" w:color="auto" w:fill="auto"/>
      <w:tabs>
        <w:tab w:val="center" w:pos="4677"/>
        <w:tab w:val="right" w:pos="9355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Arial Unicode MS" w:cs="Arial Unicode MS" w:hAnsi="Arial Unicode MS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  <w:lang w:val="ru-RU"/>
    </w:rPr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Arial Unicode MS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Обычный">
    <w:name w:val="Обычный"/>
    <w:next w:val="Обычный"/>
    <w:pPr>
      <w:keepNext w:val="0"/>
      <w:keepLines w:val="0"/>
      <w:pageBreakBefore w:val="0"/>
      <w:widowControl w:val="1"/>
      <w:pBdr>
        <w:top w:val="nil"/>
        <w:left w:val="nil"/>
        <w:bottom w:val="nil"/>
        <w:right w:val="nil"/>
      </w:pBdr>
      <w:shd w:val="clear" w:color="auto" w:fill="auto"/>
      <w:suppressAutoHyphens w:val="0"/>
      <w:bidi w:val="0"/>
      <w:spacing w:before="0" w:after="200" w:line="276" w:lineRule="auto"/>
      <w:ind w:left="0" w:right="0" w:firstLine="0"/>
      <w:jc w:val="left"/>
      <w:outlineLvl w:val="9"/>
    </w:pPr>
    <w:rPr>
      <w:rFonts w:ascii="Arial Unicode MS" w:cs="Arial Unicode MS" w:hAnsi="Arial Unicode MS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  <w:lang w:val="ru-RU"/>
    </w:rPr>
  </w:style>
  <w:style w:type="character" w:styleId="Нет">
    <w:name w:val="Нет"/>
  </w:style>
  <w:style w:type="character" w:styleId="Hyperlink.0">
    <w:name w:val="Hyperlink.0"/>
    <w:basedOn w:val="Нет"/>
    <w:next w:val="Hyperlink.0"/>
    <w:rPr>
      <w:rFonts w:ascii="Calibri" w:cs="Calibri" w:hAnsi="Calibri" w:eastAsia="Calibri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vertAlign w:val="baseline"/>
      <w:lang w:val="ru-RU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yperlink" Target="mailto:justice@kftam.ru" TargetMode="External"/><Relationship Id="rId5" Type="http://schemas.openxmlformats.org/officeDocument/2006/relationships/header" Target="header1.xml"/><Relationship Id="rId6" Type="http://schemas.openxmlformats.org/officeDocument/2006/relationships/header" Target="header2.xm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theme" Target="theme/theme1.xml"/></Relationships>
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1.png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