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56-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о результатах проведения открытых торгов в форме публичного предложения </w:t>
      </w:r>
    </w:p>
    <w:p>
      <w:pPr>
        <w:pStyle w:val="Обычный"/>
        <w:suppressAutoHyphens w:val="1"/>
        <w:spacing w:after="0" w:line="240" w:lineRule="auto"/>
        <w:jc w:val="right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 w:cs="Calibri" w:hAnsi="Calibri" w:eastAsia="Calibri"/>
          <w:b w:val="1"/>
          <w:bCs w:val="1"/>
          <w:sz w:val="24"/>
          <w:szCs w:val="24"/>
          <w:rtl w:val="0"/>
        </w:rPr>
        <w:br w:type="textWrapping"/>
        <w:t xml:space="preserve">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.07.2017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uppressAutoHyphens w:val="1"/>
        <w:spacing w:after="0" w:line="240" w:lineRule="auto"/>
        <w:jc w:val="right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981"/>
        <w:gridCol w:w="6658"/>
      </w:tblGrid>
      <w:tr>
        <w:tblPrEx>
          <w:shd w:val="clear" w:color="auto" w:fill="auto"/>
        </w:tblPrEx>
        <w:trPr>
          <w:trHeight w:val="330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Торги в форме публичного предложения по продаже имущества должника Общества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Торги в форме публичного предложения по продаже имущества должника Общества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573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Определение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победителя торгов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соответствии с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139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)"</w:t>
            </w:r>
          </w:p>
        </w:tc>
      </w:tr>
      <w:tr>
        <w:tblPrEx>
          <w:shd w:val="clear" w:color="auto" w:fill="auto"/>
        </w:tblPrEx>
        <w:trPr>
          <w:trHeight w:val="122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Заявки подаются через оператора ЭП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auto"/>
                <w:vertAlign w:val="baseline"/>
                <w:rtl w:val="0"/>
                <w:lang w:val="ru-RU"/>
              </w:rPr>
              <w:t>http://eurtp.ru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)/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Заявки принимаются 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10:00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начала периода приема заявок и заканчивается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11:00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пятого дня периода предложения цены продажи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29.05.2017 10:00:00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  <w:tr>
        <w:tblPrEx>
          <w:shd w:val="clear" w:color="auto" w:fill="auto"/>
        </w:tblPrEx>
        <w:trPr>
          <w:trHeight w:val="99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18.03.2017 10:00:00</w:t>
            </w:r>
          </w:p>
        </w:tc>
      </w:tr>
      <w:tr>
        <w:tblPrEx>
          <w:shd w:val="clear" w:color="auto" w:fill="auto"/>
        </w:tblPrEx>
        <w:trPr>
          <w:trHeight w:val="995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21.03.2017 10:00:00</w:t>
            </w:r>
          </w:p>
        </w:tc>
      </w:tr>
      <w:tr>
        <w:tblPrEx>
          <w:shd w:val="clear" w:color="auto" w:fill="auto"/>
        </w:tblPrEx>
        <w:trPr>
          <w:trHeight w:val="1028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16.03.2017 10:00:00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2981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2.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5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widowControl w:val="0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Консалтинговая фирма 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Технологии антикризисного менеджмента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«КФ «ТАМ»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1026402489497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Шелковичная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11/15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3973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Бузовский Денис Владимирович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644922430400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Союз СРО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СЕМТЭК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12786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4.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40-229047/15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кредиторов Должника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5.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«Техновест»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7724283412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1037724046733</w:t>
            </w:r>
          </w:p>
        </w:tc>
      </w:tr>
      <w:tr>
        <w:tblPrEx>
          <w:shd w:val="clear" w:color="auto" w:fill="auto"/>
        </w:tblPrEx>
        <w:trPr>
          <w:trHeight w:val="20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 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рабочих дней с момента утверждения протокола Победителю торгов направляется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с приложением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в соответствии с представленным победителем торгов предложением о цене приобретения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6.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Рысин Владимир Викторович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+78452390291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none" w:color="000000"/>
                  <w:vertAlign w:val="baseline"/>
                  <w:rtl w:val="0"/>
                  <w:lang w:val="ru-RU"/>
                </w:rPr>
                <w:t>justice@kftam.ru</w:t>
              </w:r>
            </w:hyperlink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7.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auto"/>
        </w:tblPrEx>
        <w:trPr>
          <w:trHeight w:val="92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соответствовать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Законом «О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Приказом Минэкономразвития РФ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23.07.2015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указанным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форме электронного документа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содержать обязательство участника соблюдать требования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прилагаются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ЕГРИП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полученная не позднее пяти дней до момента представления заявки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полноцветные копии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 более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Mb):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 удостоверяющих личность представителей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свидетельств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подтверждающих полномочия руководителя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решения о совершении крупной сделки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сделки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приобретение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внесение задатка являются крупной сделкой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сделкой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источнике денежных средств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привлекаемых для приобретения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реализуемого на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бухгалтерской отчетности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1-2),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заверенной налоговым органом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иные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соответствие претендента условиям участию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Весы автомобильные Оптиум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60-18 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8200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-60-18-012).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187200,00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  <w:tr>
        <w:tblPrEx>
          <w:shd w:val="clear" w:color="auto" w:fill="auto"/>
        </w:tblPrEx>
        <w:trPr>
          <w:trHeight w:val="100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Реквизиты для оплаты задатка указаны в сообщении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34030145370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газете «Коммерсантъ»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235 (5985)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Реквизиты для оплаты задатка указаны в сообщении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34030145370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газете «Коммерсантъ»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235 (5985)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3973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8.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Предложения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96"/>
        <w:gridCol w:w="3583"/>
        <w:gridCol w:w="2530"/>
        <w:gridCol w:w="2530"/>
      </w:tblGrid>
      <w:tr>
        <w:tblPrEx>
          <w:shd w:val="clear" w:color="auto" w:fill="auto"/>
        </w:tblPrEx>
        <w:trPr>
          <w:trHeight w:val="552" w:hRule="atLeast"/>
        </w:trPr>
        <w:tc>
          <w:tcPr>
            <w:tcW w:type="dxa" w:w="996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</w:p>
        </w:tc>
        <w:tc>
          <w:tcPr>
            <w:tcW w:type="dxa" w:w="35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53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53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auto"/>
        </w:tblPrEx>
        <w:trPr>
          <w:trHeight w:val="505" w:hRule="atLeast"/>
        </w:trPr>
        <w:tc>
          <w:tcPr>
            <w:tcW w:type="dxa" w:w="99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</w:t>
            </w:r>
          </w:p>
        </w:tc>
        <w:tc>
          <w:tcPr>
            <w:tcW w:type="dxa" w:w="35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Глеков Сергей Александрович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tl w:val="0"/>
                <w:lang w:val="ru-RU"/>
              </w:rPr>
              <w:t xml:space="preserve">47555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505" w:hRule="atLeast"/>
        </w:trPr>
        <w:tc>
          <w:tcPr>
            <w:tcW w:type="dxa" w:w="996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>2.</w:t>
            </w:r>
          </w:p>
        </w:tc>
        <w:tc>
          <w:tcPr>
            <w:tcW w:type="dxa" w:w="3583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Arial Unicode MS" w:hint="default"/>
                <w:rtl w:val="0"/>
              </w:rPr>
              <w:t>ООО «СКАНАВТО»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 xml:space="preserve">141151, </w:t>
            </w:r>
            <w:r>
              <w:rPr>
                <w:rFonts w:hAnsi="Arial Unicode MS" w:hint="default"/>
                <w:rtl w:val="0"/>
              </w:rPr>
              <w:t>Московская область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>г</w:t>
            </w:r>
            <w:r>
              <w:rPr>
                <w:rFonts w:ascii="Arial Unicode MS"/>
                <w:rtl w:val="0"/>
              </w:rPr>
              <w:t xml:space="preserve">. </w:t>
            </w:r>
            <w:r>
              <w:rPr>
                <w:rFonts w:hAnsi="Arial Unicode MS" w:hint="default"/>
                <w:rtl w:val="0"/>
              </w:rPr>
              <w:t>Лосино</w:t>
            </w:r>
            <w:r>
              <w:rPr>
                <w:rFonts w:ascii="Arial Unicode MS"/>
                <w:rtl w:val="0"/>
              </w:rPr>
              <w:t>-</w:t>
            </w:r>
            <w:r>
              <w:rPr>
                <w:rFonts w:hAnsi="Arial Unicode MS" w:hint="default"/>
                <w:rtl w:val="0"/>
              </w:rPr>
              <w:t>Петровский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>ул</w:t>
            </w:r>
            <w:r>
              <w:rPr>
                <w:rFonts w:ascii="Arial Unicode MS"/>
                <w:rtl w:val="0"/>
              </w:rPr>
              <w:t xml:space="preserve">. </w:t>
            </w:r>
            <w:r>
              <w:rPr>
                <w:rFonts w:hAnsi="Arial Unicode MS" w:hint="default"/>
                <w:rtl w:val="0"/>
              </w:rPr>
              <w:t>Строителей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 xml:space="preserve">дом </w:t>
            </w:r>
            <w:r>
              <w:rPr>
                <w:rFonts w:ascii="Arial Unicode MS"/>
                <w:rtl w:val="0"/>
              </w:rPr>
              <w:t xml:space="preserve">8, </w:t>
            </w:r>
            <w:r>
              <w:rPr>
                <w:rFonts w:hAnsi="Arial Unicode MS" w:hint="default"/>
                <w:rtl w:val="0"/>
              </w:rPr>
              <w:t xml:space="preserve">помещение </w:t>
            </w:r>
            <w:r>
              <w:rPr>
                <w:rFonts w:ascii="Arial Unicode MS"/>
                <w:rtl w:val="0"/>
              </w:rPr>
              <w:t>v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 xml:space="preserve">60000 </w:t>
            </w:r>
            <w:r>
              <w:rPr>
                <w:rFonts w:hAnsi="Arial Unicode MS" w:hint="default"/>
                <w:rtl w:val="0"/>
              </w:rPr>
              <w:t>руб</w:t>
            </w:r>
            <w:r>
              <w:rPr>
                <w:rFonts w:ascii="Arial Unicode MS"/>
                <w:rtl w:val="0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Победителем открытого аукциона в форме публичного предложения по продаже лота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 -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имущества Должника ООО «Техновест» является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ООО «СКАНАВТО»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rFonts w:hAnsi="Calibri" w:hint="default"/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rFonts w:hAnsi="Calibri" w:hint="default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rFonts w:hAnsi="Calibri" w:hint="default"/>
          <w:sz w:val="24"/>
          <w:szCs w:val="24"/>
          <w:rtl w:val="0"/>
          <w:lang w:val="ru-RU"/>
        </w:rPr>
        <w:t> 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Консалтинговая фирма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Технологии антикризисного менеджмента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_______________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Рысин Владимир Викторович</w:t>
      </w: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textWrapping"/>
      </w: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t>4</w:t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397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justice@kftam.ru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