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Обычный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в форме публичного предложения №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54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-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1</w:t>
      </w:r>
      <w:r>
        <w:rPr>
          <w:b w:val="1"/>
          <w:bCs w:val="1"/>
          <w:sz w:val="24"/>
          <w:szCs w:val="24"/>
          <w:rtl w:val="0"/>
          <w:lang w:val="ru-RU"/>
        </w:rPr>
        <w:t xml:space="preserve"> 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30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.0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.2017</w:t>
      </w:r>
      <w:r>
        <w:rPr>
          <w:b w:val="1"/>
          <w:bCs w:val="1"/>
          <w:sz w:val="24"/>
          <w:szCs w:val="24"/>
          <w:rtl w:val="0"/>
          <w:lang w:val="ru-RU"/>
        </w:rPr>
        <w:t>г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Абзац списка"/>
        <w:widowControl w:val="0"/>
        <w:numPr>
          <w:ilvl w:val="0"/>
          <w:numId w:val="3"/>
        </w:numPr>
        <w:tabs>
          <w:tab w:val="num" w:pos="690"/>
          <w:tab w:val="clear" w:pos="720"/>
        </w:tabs>
        <w:ind w:left="690" w:hanging="330"/>
        <w:rPr>
          <w:position w:val="0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>об открытом аукционе в форме публичного предложения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376"/>
        <w:gridCol w:w="7195"/>
      </w:tblGrid>
      <w:tr>
        <w:tblPrEx>
          <w:shd w:val="clear" w:color="auto" w:fill="auto"/>
        </w:tblPrEx>
        <w:trPr>
          <w:trHeight w:val="2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auto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auto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Открытые торги в форме публичного предложения по продаже имущества 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КОМБИРОС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Открытые торги в форме публичного предложения по продаже имущества 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КОМБИРОС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и критерии выявления победителя торгов определяется в соответствии с 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139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ФЗ «О несостоятельности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auto"/>
        </w:tblPrEx>
        <w:trPr>
          <w:trHeight w:val="59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должна содержать обязательство участника соблюдать требования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указанные в сообщении о проведении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 заявке на участие прилагаются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выписка из ЕГРЮЛ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ЕГРИП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полученная не позднее пяти дней до момента представления заявки на участие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полноцветные копии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не более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 Mb):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документов удостоверяющих личность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физ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лиц и представителей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свидетельств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Устава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подтверждающих полномочия руководителя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 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подтверждающий полномочия лица на осуществление действий от имени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решения о совершении крупной сделки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сделки с заинтересованностью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если приобретение имущества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внесение задатка являются крупной сделкой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сделкой с заинтересованностью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); 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источнике денежных средств привлекаемых для приобретения Имущества реализуемого на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бухгалтерской отчетности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форма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1-2),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заверенной налоговым органом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2015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иные документы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подтверждающие соответствие претендента условиям участию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подтверждающий полномочия лица на осуществление действий от имени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both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12.04.2017 10:00:00</w:t>
            </w:r>
          </w:p>
        </w:tc>
      </w:tr>
      <w:tr>
        <w:tblPrEx>
          <w:shd w:val="clear" w:color="auto" w:fill="auto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both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30.05.2017 10:00:00</w:t>
            </w:r>
          </w:p>
        </w:tc>
      </w:tr>
      <w:tr>
        <w:tblPrEx>
          <w:shd w:val="clear" w:color="auto" w:fill="auto"/>
        </w:tblPrEx>
        <w:trPr>
          <w:trHeight w:val="1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both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04.04.2017 0:00:00</w:t>
            </w:r>
          </w:p>
        </w:tc>
      </w:tr>
      <w:tr>
        <w:tblPrEx>
          <w:shd w:val="clear" w:color="auto" w:fill="auto"/>
        </w:tblPrEx>
        <w:trPr>
          <w:trHeight w:val="20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both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04.04.2017 0:00:00</w:t>
            </w:r>
          </w:p>
        </w:tc>
      </w:tr>
      <w:tr>
        <w:tblPrEx>
          <w:shd w:val="clear" w:color="auto" w:fill="auto"/>
        </w:tblPrEx>
        <w:trPr>
          <w:trHeight w:val="1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04.04.2017 0:00:00</w:t>
            </w:r>
          </w:p>
        </w:tc>
      </w:tr>
    </w:tbl>
    <w:p>
      <w:pPr>
        <w:pStyle w:val="Абзац списка"/>
        <w:widowControl w:val="0"/>
        <w:numPr>
          <w:ilvl w:val="0"/>
          <w:numId w:val="4"/>
        </w:numPr>
        <w:tabs>
          <w:tab w:val="num" w:pos="690"/>
          <w:tab w:val="clear" w:pos="720"/>
        </w:tabs>
        <w:spacing w:line="240" w:lineRule="auto"/>
        <w:ind w:left="690" w:hanging="330"/>
        <w:rPr>
          <w:position w:val="0"/>
          <w:sz w:val="24"/>
          <w:szCs w:val="24"/>
        </w:rPr>
      </w:pPr>
    </w:p>
    <w:p>
      <w:pPr>
        <w:pStyle w:val="Абзац списка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5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96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Полное наименование 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pBdr>
                <w:top w:val="nil"/>
                <w:left w:val="nil"/>
                <w:bottom w:val="nil"/>
                <w:right w:val="nil"/>
              </w:pBdr>
              <w:spacing w:after="120" w:line="240" w:lineRule="auto"/>
            </w:pPr>
            <w:r>
              <w:rPr>
                <w:rFonts w:hAnsi="Arial Unicode MS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ООО «Консалтинговая фирма «Технологии антикризисного менеджмента»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pBdr>
                <w:top w:val="nil"/>
                <w:left w:val="nil"/>
                <w:bottom w:val="nil"/>
                <w:right w:val="nil"/>
              </w:pBdr>
              <w:spacing w:after="120" w:line="240" w:lineRule="auto"/>
            </w:pPr>
            <w:r>
              <w:rPr>
                <w:rFonts w:hAnsi="Arial Unicode MS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ООО «КФ «ТАМ»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pBdr>
                <w:top w:val="nil"/>
                <w:left w:val="nil"/>
                <w:bottom w:val="nil"/>
                <w:right w:val="nil"/>
              </w:pBdr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6451124874</w:t>
            </w:r>
          </w:p>
        </w:tc>
      </w:tr>
      <w:tr>
        <w:tblPrEx>
          <w:shd w:val="clear" w:color="auto" w:fill="auto"/>
        </w:tblPrEx>
        <w:trPr>
          <w:trHeight w:val="249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КПП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pBdr>
                <w:top w:val="nil"/>
                <w:left w:val="nil"/>
                <w:bottom w:val="nil"/>
                <w:right w:val="nil"/>
              </w:pBdr>
              <w:spacing w:after="120" w:line="240" w:lineRule="auto"/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shd w:val="clear" w:color="auto" w:fill="ffffff"/>
                <w:vertAlign w:val="baseline"/>
                <w:rtl w:val="0"/>
                <w:lang w:val="ru-RU"/>
              </w:rPr>
              <w:t>6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45201001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pBdr>
                <w:top w:val="nil"/>
                <w:left w:val="nil"/>
                <w:bottom w:val="nil"/>
                <w:right w:val="nil"/>
              </w:pBdr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026402489497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Юридический адрес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pBdr>
                <w:top w:val="nil"/>
                <w:left w:val="nil"/>
                <w:bottom w:val="nil"/>
                <w:right w:val="nil"/>
              </w:pBdr>
              <w:spacing w:after="120" w:line="240" w:lineRule="auto"/>
            </w:pPr>
            <w:r>
              <w:rPr>
                <w:rFonts w:hAnsi="Arial Unicode MS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Arial Unicode MS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Arial Unicode MS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Arial Unicode MS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Шелковичная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11/15</w:t>
            </w:r>
          </w:p>
        </w:tc>
      </w:tr>
    </w:tbl>
    <w:p>
      <w:pPr>
        <w:pStyle w:val="Абзац списка"/>
        <w:widowControl w:val="0"/>
        <w:numPr>
          <w:ilvl w:val="0"/>
          <w:numId w:val="6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</w:p>
    <w:p>
      <w:pPr>
        <w:pStyle w:val="Обычный"/>
        <w:spacing w:line="240" w:lineRule="auto"/>
        <w:ind w:firstLine="708"/>
        <w:rPr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7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Харитонов Алексей Петрович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jc w:val="both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582700760608</w:t>
            </w:r>
          </w:p>
        </w:tc>
      </w:tr>
      <w:tr>
        <w:tblPrEx>
          <w:shd w:val="clear" w:color="auto" w:fill="auto"/>
        </w:tblPrEx>
        <w:trPr>
          <w:trHeight w:val="18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НП СРО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СЕМТЭК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"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Некоммерческое партнерство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Саморегулируемая организация арбитражных управляющих субъектов естественных монополий топливно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энергетического комплекса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6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6843</w:t>
              <w:tab/>
            </w:r>
          </w:p>
        </w:tc>
      </w:tr>
    </w:tbl>
    <w:p>
      <w:pPr>
        <w:pStyle w:val="Абзац списка"/>
        <w:widowControl w:val="0"/>
        <w:numPr>
          <w:ilvl w:val="0"/>
          <w:numId w:val="8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</w:p>
    <w:p>
      <w:pPr>
        <w:pStyle w:val="Обычный"/>
        <w:spacing w:line="240" w:lineRule="auto"/>
        <w:ind w:firstLine="708"/>
        <w:rPr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9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Арбитражный суд Саратовской области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57-22412/2013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решение Арбитражного суда Саратовской области 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10.04.2015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 делу 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57-22412/2013</w:t>
            </w:r>
          </w:p>
        </w:tc>
      </w:tr>
    </w:tbl>
    <w:p>
      <w:pPr>
        <w:pStyle w:val="Абзац списка"/>
        <w:widowControl w:val="0"/>
        <w:numPr>
          <w:ilvl w:val="0"/>
          <w:numId w:val="10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</w:p>
    <w:p>
      <w:pPr>
        <w:pStyle w:val="Обычный"/>
        <w:spacing w:line="240" w:lineRule="auto"/>
        <w:ind w:firstLine="708"/>
        <w:rPr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11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</w:t>
            </w:r>
          </w:p>
        </w:tc>
      </w:tr>
      <w:tr>
        <w:tblPrEx>
          <w:shd w:val="clear" w:color="auto" w:fill="auto"/>
        </w:tblPrEx>
        <w:trPr>
          <w:trHeight w:val="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 «КОМБИРОС»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ООО «КОМБИРОС»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6454079370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1066454041906</w:t>
            </w:r>
          </w:p>
        </w:tc>
      </w:tr>
      <w:tr>
        <w:tblPrEx>
          <w:shd w:val="clear" w:color="auto" w:fill="auto"/>
        </w:tblPrEx>
        <w:trPr>
          <w:trHeight w:val="6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течение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 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пяти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рабочих дней с момента утверждения протокола Победителю торгов направляется предложение заключить договор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имущества с приложением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в соответствии с представленным победителем торгов предложением о цене приобретения Имущества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случае уклонения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течение пяти дней с даты получения предложения конкурсного управляющего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или отказа победителя торгов от подписания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конкурсный управляющий предлагает заключить договор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имущества участнику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которым предложена наиболее высокая цена имущества по сравнению с ценой имущества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предложенной другими участниками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 исключением победителя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 этом внесенный отказавшимся участником задаток не возвращается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Абзац списка"/>
        <w:widowControl w:val="0"/>
        <w:numPr>
          <w:ilvl w:val="0"/>
          <w:numId w:val="12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</w:p>
    <w:p>
      <w:pPr>
        <w:pStyle w:val="Обычный"/>
        <w:spacing w:line="240" w:lineRule="auto"/>
        <w:ind w:firstLine="708"/>
        <w:rPr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13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Харитонов Алексей Петрович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(8452) 202-722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270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line="165" w:lineRule="atLeast"/>
            </w:pPr>
            <w:hyperlink r:id="rId4" w:history="1">
              <w:r>
                <w:rPr>
                  <w:rStyle w:val="Hyperlink.0"/>
                  <w:rFonts w:ascii="Calibri"/>
                  <w:rtl w:val="0"/>
                  <w:lang w:val="en-US"/>
                </w:rPr>
                <w:t>al.haritonov@list.ru</w:t>
              </w:r>
            </w:hyperlink>
          </w:p>
        </w:tc>
      </w:tr>
    </w:tbl>
    <w:p>
      <w:pPr>
        <w:pStyle w:val="Абзац списка"/>
        <w:widowControl w:val="0"/>
        <w:numPr>
          <w:ilvl w:val="0"/>
          <w:numId w:val="14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</w:p>
    <w:p>
      <w:pPr>
        <w:pStyle w:val="Обычный"/>
        <w:spacing w:line="240" w:lineRule="auto"/>
        <w:ind w:firstLine="708"/>
        <w:rPr>
          <w:sz w:val="24"/>
          <w:szCs w:val="24"/>
        </w:rPr>
      </w:pPr>
    </w:p>
    <w:p>
      <w:pPr>
        <w:pStyle w:val="Абзац списка"/>
        <w:numPr>
          <w:ilvl w:val="0"/>
          <w:numId w:val="15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Обычный"/>
        <w:widowControl w:val="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sz w:val="24"/>
          <w:szCs w:val="24"/>
          <w:rtl w:val="0"/>
          <w:lang w:val="ru-RU"/>
        </w:rPr>
        <w:t>1</w:t>
      </w:r>
      <w:r>
        <w:rPr>
          <w:rFonts w:ascii="Calibri"/>
          <w:sz w:val="24"/>
          <w:szCs w:val="24"/>
          <w:rtl w:val="0"/>
          <w:lang w:val="ru-RU"/>
        </w:rPr>
        <w:t>.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99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оформления участия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должна содержать обязательство участника соблюдать требования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указанные в сообщении о проведении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 заявке на участие прилагаются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выписка из ЕГРЮЛ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ЕГРИП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полученная не позднее пяти дней до момента представления заявки на участие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полноцветные копии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не более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 Mb):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документов удостоверяющих личность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физ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лиц и представителей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свидетельств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Устава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подтверждающих полномочия руководителя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 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подтверждающий полномочия лица на осуществление действий от имени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решения о совершении крупной сделки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сделки с заинтересованностью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если приобретение имущества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внесение задатка являются крупной сделкой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сделкой с заинтересованностью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); 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источнике денежных средств привлекаемых для приобретения Имущества реализуемого на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бухгалтерской отчетности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форма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1-2),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заверенной налоговым органом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2015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иные документы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подтверждающие соответствие претендента условиям участию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подтверждающий полномочия лица на осуществление действий от имени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29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имуществе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его составе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описание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Незавершенное строительством сооружение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трансформаторная подстанция на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98%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готовности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IV,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общая площадь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далее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 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64-64-38/041/2011-400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14.09.2011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 праве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АГ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133028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14.09.2011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корп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6;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Незавершенное строительством нежилое строение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трансформаторная подстанция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97%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готовности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45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64-64-38/041/2011-405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14.09.2011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 праве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АГ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133031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14.09.2011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Незавершенное строительством нежилое строение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канализационная насосная станция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96%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готовности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31,8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64-64-38/041/2011-403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14.09.2011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 праве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АГ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133030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14.09.2011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Незавершенное строительством нежилое здание склада продукта в мешках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(98%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готовности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 пристройкой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(56%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готовности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пристройкой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(60%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готовности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Литер КК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1657,1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64-64-38/041/2011-380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14.09.2011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 праве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АГ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133033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14.09.2011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корп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расположенные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Саратовская обл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Марксовский район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Каменка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примерно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км от здания администрации в юго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восточном направлении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Земельный участок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землепользование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сельскохозяйственного назначения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разрешенное использование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сельхозназначения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64:20:021501:0051,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131657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64-64-38/041/2011-406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14.09.2011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 праве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АГ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133032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14.09.2011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расположенный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Саратовская обл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примерно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5,2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км по направлению на юго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восток от ориентира Саратовская обл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Марксовский район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Каменка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расположенного за пределами участка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498360,00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auto"/>
        </w:tblPrEx>
        <w:trPr>
          <w:trHeight w:val="11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Размер задатка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- 10 %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 цены продажи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установленной для определенного периода проведения торгов посредствам публичного предложения</w:t>
            </w:r>
          </w:p>
        </w:tc>
      </w:tr>
      <w:tr>
        <w:tblPrEx>
          <w:shd w:val="clear" w:color="auto" w:fill="auto"/>
        </w:tblPrEx>
        <w:trPr>
          <w:trHeight w:val="41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перечисляется на 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40702810711010014552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Филиале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БИЗНЕС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"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ПАО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СОВКОМБАНК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"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Москва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30101810045250000058,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БИК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044525058,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ИНН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6451124874,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КПП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645101001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назначении платежа указывается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«Задаток для участия в аукционе по продаже имущества ООО «КОМБИРОС»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период с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_______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___________ 2016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года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</w:t>
            </w:r>
          </w:p>
        </w:tc>
      </w:tr>
    </w:tbl>
    <w:p>
      <w:pPr>
        <w:pStyle w:val="Обычный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Обычный"/>
        <w:spacing w:line="240" w:lineRule="auto"/>
        <w:ind w:firstLine="708"/>
        <w:rPr>
          <w:sz w:val="24"/>
          <w:szCs w:val="24"/>
          <w:lang w:val="en-US"/>
        </w:rPr>
      </w:pPr>
    </w:p>
    <w:p>
      <w:pPr>
        <w:pStyle w:val="Обычный"/>
        <w:spacing w:after="120" w:line="240" w:lineRule="auto"/>
        <w:rPr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Обычный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Торги признаны несостоявшимися  </w:t>
      </w:r>
      <w:r>
        <w:rPr>
          <w:rFonts w:ascii="Calibri"/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>к участию в торгах не было допущено ни одного участника</w:t>
      </w:r>
      <w:r>
        <w:rPr>
          <w:rFonts w:ascii="Calibri"/>
          <w:sz w:val="24"/>
          <w:szCs w:val="24"/>
          <w:rtl w:val="0"/>
          <w:lang w:val="ru-RU"/>
        </w:rPr>
        <w:t>.</w:t>
      </w:r>
    </w:p>
    <w:p>
      <w:pPr>
        <w:pStyle w:val="Обычный"/>
        <w:spacing w:line="276" w:lineRule="auto"/>
        <w:rPr>
          <w:sz w:val="24"/>
          <w:szCs w:val="24"/>
        </w:rPr>
      </w:pPr>
    </w:p>
    <w:p>
      <w:pPr>
        <w:pStyle w:val="Обычный"/>
        <w:spacing w:line="276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Настоящий протокол создан в электронной форме оператором электронной площадки ООО «Евразийская торговая площадка»</w:t>
      </w:r>
      <w:r>
        <w:rPr>
          <w:rFonts w:ascii="Calibri"/>
          <w:sz w:val="24"/>
          <w:szCs w:val="24"/>
          <w:rtl w:val="0"/>
          <w:lang w:val="ru-RU"/>
        </w:rPr>
        <w:t xml:space="preserve">. </w:t>
      </w:r>
    </w:p>
    <w:p>
      <w:pPr>
        <w:pStyle w:val="Обычный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rFonts w:ascii="Calibri"/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rFonts w:ascii="Calibri"/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rFonts w:ascii="Calibri"/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</w:p>
    <w:p>
      <w:pPr>
        <w:pStyle w:val="Обычный"/>
        <w:spacing w:line="240" w:lineRule="auto"/>
        <w:rPr>
          <w:sz w:val="24"/>
          <w:szCs w:val="24"/>
        </w:rPr>
      </w:pPr>
    </w:p>
    <w:p>
      <w:pPr>
        <w:pStyle w:val="Обычный"/>
        <w:spacing w:line="276" w:lineRule="auto"/>
      </w:pPr>
      <w:r>
        <w:rPr>
          <w:sz w:val="24"/>
          <w:szCs w:val="24"/>
          <w:rtl w:val="0"/>
          <w:lang w:val="ru-RU"/>
        </w:rPr>
        <w:t>Протокол подписан организатором торгов</w:t>
      </w:r>
      <w:r>
        <w:rPr>
          <w:rFonts w:ascii="Calibri"/>
          <w:sz w:val="24"/>
          <w:szCs w:val="24"/>
          <w:rtl w:val="0"/>
          <w:lang w:val="ru-RU"/>
        </w:rPr>
        <w:t>.</w:t>
      </w:r>
      <w:r>
        <w:rPr>
          <w:sz w:val="24"/>
          <w:szCs w:val="24"/>
        </w:rPr>
        <w:br w:type="page"/>
      </w:r>
    </w:p>
    <w:p>
      <w:pPr>
        <w:pStyle w:val="Обычный"/>
        <w:spacing w:line="276" w:lineRule="auto"/>
      </w:pPr>
      <w:r>
        <w:rPr>
          <w:b w:val="1"/>
          <w:bCs w:val="1"/>
          <w:sz w:val="24"/>
          <w:szCs w:val="24"/>
        </w:rPr>
        <w:br w:type="page"/>
      </w:r>
    </w:p>
    <w:p>
      <w:pPr>
        <w:pStyle w:val="Обычный"/>
        <w:spacing w:line="276" w:lineRule="auto"/>
      </w:pPr>
      <w:r>
        <w:rPr>
          <w:b w:val="1"/>
          <w:bCs w:val="1"/>
          <w:sz w:val="24"/>
          <w:szCs w:val="24"/>
        </w:rPr>
        <w:br w:type="page"/>
      </w:r>
    </w:p>
    <w:p>
      <w:pPr>
        <w:pStyle w:val="Обычный"/>
        <w:spacing w:line="276" w:lineRule="auto"/>
      </w:pPr>
      <w:r>
        <w:rPr>
          <w:sz w:val="24"/>
          <w:szCs w:val="24"/>
        </w:rPr>
        <w:br w:type="page"/>
      </w:r>
    </w:p>
    <w:p>
      <w:pPr>
        <w:pStyle w:val="Обычный"/>
        <w:spacing w:line="276" w:lineRule="auto"/>
      </w:pPr>
      <w:r>
        <w:rPr>
          <w:sz w:val="24"/>
          <w:szCs w:val="24"/>
        </w:rPr>
        <w:br w:type="page"/>
      </w:r>
    </w:p>
    <w:p>
      <w:pPr>
        <w:pStyle w:val="Обычный"/>
        <w:spacing w:line="276" w:lineRule="auto"/>
      </w:pPr>
      <w:r>
        <w:rPr>
          <w:sz w:val="24"/>
          <w:szCs w:val="24"/>
        </w:rPr>
        <w:br w:type="page"/>
      </w:r>
    </w:p>
    <w:p>
      <w:pPr>
        <w:pStyle w:val="Обычный"/>
        <w:spacing w:line="276" w:lineRule="auto"/>
      </w:pP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Нижний колонтитул"/>
      <w:tabs>
        <w:tab w:val="right" w:pos="9329"/>
        <w:tab w:val="clear" w:pos="9355"/>
      </w:tabs>
      <w:jc w:val="center"/>
    </w:pPr>
    <w:r>
      <w:rPr>
        <w:rtl w:val="0"/>
      </w:rPr>
      <w:fldChar w:fldCharType="begin" w:fldLock="0"/>
    </w:r>
    <w:r>
      <w:rPr>
        <w:rtl w:val="0"/>
      </w:rPr>
      <w:t xml:space="preserve"> PAGE </w:t>
    </w:r>
    <w:r>
      <w:rPr>
        <w:rtl w:val="0"/>
      </w:rPr>
      <w:fldChar w:fldCharType="separate" w:fldLock="0"/>
    </w:r>
    <w:r>
      <w:rPr>
        <w:rtl w:val="0"/>
      </w:rPr>
      <w:t>5</w:t>
    </w:r>
    <w:r>
      <w:rPr>
        <w:rtl w:val="0"/>
      </w:rPr>
      <w:fldChar w:fldCharType="end" w:fldLock="0"/>
    </w:r>
    <w:r>
      <w:rPr>
        <w:rtl w:val="0"/>
      </w:rPr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styleLink w:val="List 0"/>
    <w:lvl w:ilvl="0">
      <w:start w:val="2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5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6">
    <w:multiLevelType w:val="multilevel"/>
    <w:styleLink w:val="List 0"/>
    <w:lvl w:ilvl="0">
      <w:start w:val="3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7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8">
    <w:multiLevelType w:val="multilevel"/>
    <w:styleLink w:val="List 0"/>
    <w:lvl w:ilvl="0">
      <w:start w:val="4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9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10">
    <w:multiLevelType w:val="multilevel"/>
    <w:styleLink w:val="List 0"/>
    <w:lvl w:ilvl="0">
      <w:start w:val="5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11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12">
    <w:multiLevelType w:val="multilevel"/>
    <w:styleLink w:val="List 0"/>
    <w:lvl w:ilvl="0">
      <w:start w:val="6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1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14">
    <w:multiLevelType w:val="multilevel"/>
    <w:styleLink w:val="List 0"/>
    <w:lvl w:ilvl="0">
      <w:start w:val="7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Нижний колонтитул">
    <w:name w:val="Нижний колонтитул"/>
    <w:next w:val="Нижний колонтитул"/>
    <w:pPr>
      <w:keepNext w:val="0"/>
      <w:keepLines w:val="0"/>
      <w:pageBreakBefore w:val="0"/>
      <w:widowControl w:val="1"/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mailto:al.haritonov@list.ru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