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54</w:t>
      </w:r>
      <w:r>
        <w:rPr>
          <w:b w:val="1"/>
          <w:bCs w:val="1"/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.201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7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"/>
        <w:rPr>
          <w:b w:val="1"/>
          <w:bCs w:val="1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9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hAnsi="Arial Unicode MS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«Консалтинговая фирма «Технологии антикризисного менеджмента»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pBdr>
                <w:top w:val="nil"/>
                <w:left w:val="nil"/>
                <w:bottom w:val="nil"/>
                <w:right w:val="nil"/>
              </w:pBdr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026402489497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Шелковичная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11/15</w:t>
            </w:r>
          </w:p>
        </w:tc>
      </w:tr>
      <w:tr>
        <w:tblPrEx>
          <w:shd w:val="clear" w:color="auto" w:fill="auto"/>
        </w:tblPrEx>
        <w:trPr>
          <w:trHeight w:val="2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90"/>
          <w:tab w:val="clear" w:pos="720"/>
        </w:tabs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Normal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Normal"/>
        <w:rPr>
          <w:sz w:val="24"/>
          <w:szCs w:val="24"/>
        </w:rPr>
      </w:pPr>
    </w:p>
    <w:p>
      <w:pPr>
        <w:pStyle w:val="Normal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>1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«КОМБИРОС»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  <w:rPr>
                <w:sz w:val="24"/>
                <w:szCs w:val="24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Незавершенное строительством сооружение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 xml:space="preserve">трансформаторная подстанция на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630 </w:t>
            </w:r>
            <w:r>
              <w:rPr>
                <w:sz w:val="24"/>
                <w:szCs w:val="24"/>
                <w:rtl w:val="0"/>
                <w:lang w:val="ru-RU"/>
              </w:rPr>
              <w:t>кВт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98% </w:t>
            </w:r>
            <w:r>
              <w:rPr>
                <w:sz w:val="24"/>
                <w:szCs w:val="24"/>
                <w:rtl w:val="0"/>
                <w:lang w:val="ru-RU"/>
              </w:rPr>
              <w:t>готовности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 xml:space="preserve">Литер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IV, </w:t>
            </w:r>
            <w:r>
              <w:rPr>
                <w:sz w:val="24"/>
                <w:szCs w:val="24"/>
                <w:rtl w:val="0"/>
                <w:lang w:val="ru-RU"/>
              </w:rPr>
              <w:t>нежилое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общая площадь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 xml:space="preserve">далее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rtl w:val="0"/>
                <w:lang w:val="ru-RU"/>
              </w:rPr>
              <w:t>общ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.) 4 </w:t>
            </w:r>
            <w:r>
              <w:rPr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рег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64-64-38/041/2011-400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св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64-</w:t>
            </w:r>
            <w:r>
              <w:rPr>
                <w:sz w:val="24"/>
                <w:szCs w:val="24"/>
                <w:rtl w:val="0"/>
                <w:lang w:val="ru-RU"/>
              </w:rPr>
              <w:t>АГ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133028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корп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6; -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Незавершенное строительством нежилое строение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трансформаторная подстанция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97% </w:t>
            </w:r>
            <w:r>
              <w:rPr>
                <w:sz w:val="24"/>
                <w:szCs w:val="24"/>
                <w:rtl w:val="0"/>
                <w:lang w:val="ru-RU"/>
              </w:rPr>
              <w:t>готовности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>Литер 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общ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45 </w:t>
            </w:r>
            <w:r>
              <w:rPr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рег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64-64-38/041/2011-405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св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64-</w:t>
            </w:r>
            <w:r>
              <w:rPr>
                <w:sz w:val="24"/>
                <w:szCs w:val="24"/>
                <w:rtl w:val="0"/>
                <w:lang w:val="ru-RU"/>
              </w:rPr>
              <w:t>АГ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133031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.; -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Незавершенное строительством нежилое строение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канализационная насосная станция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96% </w:t>
            </w:r>
            <w:r>
              <w:rPr>
                <w:sz w:val="24"/>
                <w:szCs w:val="24"/>
                <w:rtl w:val="0"/>
                <w:lang w:val="ru-RU"/>
              </w:rPr>
              <w:t>готовности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>Литер 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общ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31,8 </w:t>
            </w:r>
            <w:r>
              <w:rPr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рег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64-64-38/041/2011-403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св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64-</w:t>
            </w:r>
            <w:r>
              <w:rPr>
                <w:sz w:val="24"/>
                <w:szCs w:val="24"/>
                <w:rtl w:val="0"/>
                <w:lang w:val="ru-RU"/>
              </w:rPr>
              <w:t>АГ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133030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.; - </w:t>
            </w:r>
            <w:r>
              <w:rPr>
                <w:sz w:val="24"/>
                <w:szCs w:val="24"/>
                <w:rtl w:val="0"/>
                <w:lang w:val="ru-RU"/>
              </w:rPr>
              <w:t xml:space="preserve">Незавершенное строительством нежилое здание склада продукта в мешках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(98% </w:t>
            </w:r>
            <w:r>
              <w:rPr>
                <w:sz w:val="24"/>
                <w:szCs w:val="24"/>
                <w:rtl w:val="0"/>
                <w:lang w:val="ru-RU"/>
              </w:rPr>
              <w:t>готовности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 xml:space="preserve">с пристройкой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(56% </w:t>
            </w:r>
            <w:r>
              <w:rPr>
                <w:sz w:val="24"/>
                <w:szCs w:val="24"/>
                <w:rtl w:val="0"/>
                <w:lang w:val="ru-RU"/>
              </w:rPr>
              <w:t>готовности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пристройкой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(60% </w:t>
            </w:r>
            <w:r>
              <w:rPr>
                <w:sz w:val="24"/>
                <w:szCs w:val="24"/>
                <w:rtl w:val="0"/>
                <w:lang w:val="ru-RU"/>
              </w:rPr>
              <w:t>готовности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>Литер КК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1</w:t>
            </w: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2, </w:t>
            </w:r>
            <w:r>
              <w:rPr>
                <w:sz w:val="24"/>
                <w:szCs w:val="24"/>
                <w:rtl w:val="0"/>
                <w:lang w:val="ru-RU"/>
              </w:rPr>
              <w:t>общ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1657,1 </w:t>
            </w:r>
            <w:r>
              <w:rPr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рег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64-64-38/041/2011-380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св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64-</w:t>
            </w:r>
            <w:r>
              <w:rPr>
                <w:sz w:val="24"/>
                <w:szCs w:val="24"/>
                <w:rtl w:val="0"/>
                <w:lang w:val="ru-RU"/>
              </w:rPr>
              <w:t>АГ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133033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корп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1; </w:t>
            </w:r>
            <w:r>
              <w:rPr>
                <w:sz w:val="24"/>
                <w:szCs w:val="24"/>
                <w:rtl w:val="0"/>
                <w:lang w:val="ru-RU"/>
              </w:rPr>
              <w:t>расположенные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Саратовская обл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Марксовский район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с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Каменка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примерно в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rtl w:val="0"/>
                <w:lang w:val="ru-RU"/>
              </w:rPr>
              <w:t>км от здания администрации в юго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восточном направлении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; - </w:t>
            </w:r>
            <w:r>
              <w:rPr>
                <w:sz w:val="24"/>
                <w:szCs w:val="24"/>
                <w:rtl w:val="0"/>
                <w:lang w:val="ru-RU"/>
              </w:rPr>
              <w:t xml:space="preserve">Земельный участок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rtl w:val="0"/>
                <w:lang w:val="ru-RU"/>
              </w:rPr>
              <w:t>землепользование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земли сельскохозяйственного назначения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разрешенное использование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для сельхозназначения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кад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64:20:021501:0051, </w:t>
            </w:r>
            <w:r>
              <w:rPr>
                <w:sz w:val="24"/>
                <w:szCs w:val="24"/>
                <w:rtl w:val="0"/>
                <w:lang w:val="ru-RU"/>
              </w:rPr>
              <w:t>общ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131657 </w:t>
            </w:r>
            <w:r>
              <w:rPr>
                <w:sz w:val="24"/>
                <w:szCs w:val="24"/>
                <w:rtl w:val="0"/>
                <w:lang w:val="ru-RU"/>
              </w:rPr>
              <w:t>кв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рег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64-64-38/041/2011-406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св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о праве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64-</w:t>
            </w:r>
            <w:r>
              <w:rPr>
                <w:sz w:val="24"/>
                <w:szCs w:val="24"/>
                <w:rtl w:val="0"/>
                <w:lang w:val="ru-RU"/>
              </w:rPr>
              <w:t>АГ №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133032 </w:t>
            </w:r>
            <w:r>
              <w:rPr>
                <w:sz w:val="24"/>
                <w:szCs w:val="24"/>
                <w:rtl w:val="0"/>
                <w:lang w:val="ru-RU"/>
              </w:rPr>
              <w:t xml:space="preserve">от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14.09.2011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расположенный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Саратовская обл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примерно в 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5,2 </w:t>
            </w:r>
            <w:r>
              <w:rPr>
                <w:sz w:val="24"/>
                <w:szCs w:val="24"/>
                <w:rtl w:val="0"/>
                <w:lang w:val="ru-RU"/>
              </w:rPr>
              <w:t>км по направлению на юго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восток от ориентира Саратовская обл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rtl w:val="0"/>
                <w:lang w:val="ru-RU"/>
              </w:rPr>
              <w:t>Марксовский район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с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Каменка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расположенного за пределами участка</w:t>
            </w:r>
            <w:r>
              <w:rPr>
                <w:rFonts w:ascii="Calibri"/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04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10:00:00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05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.201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:00:00</w:t>
            </w:r>
          </w:p>
        </w:tc>
      </w:tr>
    </w:tbl>
    <w:p>
      <w:pPr>
        <w:pStyle w:val="Normal"/>
        <w:widowControl w:val="0"/>
        <w:spacing w:line="240" w:lineRule="auto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 xml:space="preserve"> </w:t>
      </w:r>
    </w:p>
    <w:p>
      <w:pPr>
        <w:pStyle w:val="Normal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>1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</w:tr>
    </w:tbl>
    <w:p>
      <w:pPr>
        <w:pStyle w:val="Normal"/>
        <w:widowControl w:val="0"/>
        <w:spacing w:line="240" w:lineRule="auto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p>
      <w:pPr>
        <w:pStyle w:val="Normal"/>
      </w:pPr>
      <w:r>
        <w:rPr>
          <w:sz w:val="24"/>
          <w:szCs w:val="24"/>
        </w:rPr>
        <w:br w:type="textWrapping"/>
      </w:r>
      <w:r>
        <w:rPr>
          <w:sz w:val="24"/>
          <w:szCs w:val="24"/>
        </w:rPr>
        <w:br w:type="page"/>
      </w:r>
    </w:p>
    <w:p>
      <w:pPr>
        <w:pStyle w:val="Normal"/>
      </w:pPr>
      <w:r>
        <w:rPr>
          <w:sz w:val="24"/>
          <w:szCs w:val="24"/>
        </w:rPr>
        <w:br w:type="page"/>
      </w:r>
    </w:p>
    <w:p>
      <w:pPr>
        <w:pStyle w:val="Normal"/>
      </w:pP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