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.0"/>
        <w:jc w:val="center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ru-RU"/>
        </w:rPr>
        <w:t xml:space="preserve">Извещение о проведении торгов № </w:t>
      </w:r>
      <w:bookmarkStart w:name="НомерИзвещение" w:id="0"/>
      <w:bookmarkEnd w:id="0"/>
      <w:r>
        <w:rPr>
          <w:b w:val="1"/>
          <w:bCs w:val="1"/>
          <w:sz w:val="24"/>
          <w:szCs w:val="24"/>
          <w:rtl w:val="0"/>
          <w:lang w:val="ru-RU"/>
        </w:rPr>
        <w:t>5</w:t>
      </w:r>
      <w:r>
        <w:rPr>
          <w:b w:val="1"/>
          <w:bCs w:val="1"/>
          <w:sz w:val="24"/>
          <w:szCs w:val="24"/>
          <w:rtl w:val="0"/>
          <w:lang w:val="ru-RU"/>
        </w:rPr>
        <w:t>71.</w:t>
      </w:r>
    </w:p>
    <w:p>
      <w:pPr>
        <w:pStyle w:val="Normal.0"/>
        <w:rPr>
          <w:b w:val="1"/>
          <w:bCs w:val="1"/>
          <w:sz w:val="24"/>
          <w:szCs w:val="24"/>
          <w:lang w:val="en-US"/>
        </w:rPr>
      </w:pPr>
      <w:bookmarkStart w:name="Текущая_дата" w:id="1"/>
      <w:bookmarkEnd w:id="1"/>
      <w:r>
        <w:rPr>
          <w:b w:val="1"/>
          <w:bCs w:val="1"/>
          <w:sz w:val="24"/>
          <w:szCs w:val="24"/>
          <w:rtl w:val="0"/>
          <w:lang w:val="en-US"/>
        </w:rPr>
        <w:t>2</w:t>
      </w:r>
      <w:r>
        <w:rPr>
          <w:b w:val="1"/>
          <w:bCs w:val="1"/>
          <w:sz w:val="24"/>
          <w:szCs w:val="24"/>
          <w:rtl w:val="0"/>
          <w:lang w:val="en-US"/>
        </w:rPr>
        <w:t>3.07.2025</w:t>
      </w:r>
    </w:p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>Я</w:t>
      </w:r>
      <w:r>
        <w:rPr>
          <w:sz w:val="24"/>
          <w:szCs w:val="24"/>
          <w:rtl w:val="0"/>
          <w:lang w:val="ru-RU"/>
        </w:rPr>
        <w:t xml:space="preserve">, </w:t>
      </w:r>
      <w:bookmarkStart w:name="ФИО" w:id="2"/>
      <w:bookmarkEnd w:id="2"/>
      <w:r>
        <w:rPr>
          <w:sz w:val="24"/>
          <w:szCs w:val="24"/>
          <w:rtl w:val="0"/>
          <w:lang w:val="ru-RU"/>
        </w:rPr>
        <w:t>М</w:t>
      </w:r>
      <w:r>
        <w:rPr>
          <w:sz w:val="24"/>
          <w:szCs w:val="24"/>
          <w:rtl w:val="0"/>
          <w:lang w:val="ru-RU"/>
        </w:rPr>
        <w:t xml:space="preserve">арков Виктор  Константинович 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 xml:space="preserve">публикую  </w:t>
      </w:r>
      <w:bookmarkStart w:name="ВидАукцион_ИП" w:id="3"/>
      <w:bookmarkEnd w:id="3"/>
      <w:r>
        <w:rPr>
          <w:sz w:val="24"/>
          <w:szCs w:val="24"/>
          <w:rtl w:val="0"/>
          <w:lang w:val="ru-RU"/>
        </w:rPr>
        <w:t>п</w:t>
      </w:r>
      <w:r>
        <w:rPr>
          <w:sz w:val="24"/>
          <w:szCs w:val="24"/>
          <w:rtl w:val="0"/>
          <w:lang w:val="ru-RU"/>
        </w:rPr>
        <w:t>убличное предложение</w:t>
      </w:r>
    </w:p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№  </w:t>
      </w:r>
      <w:bookmarkStart w:name="НомерАукцион" w:id="4"/>
      <w:bookmarkEnd w:id="4"/>
      <w:r>
        <w:rPr>
          <w:sz w:val="24"/>
          <w:szCs w:val="24"/>
          <w:rtl w:val="0"/>
          <w:lang w:val="ru-RU"/>
        </w:rPr>
        <w:t>П</w:t>
      </w:r>
      <w:r>
        <w:rPr>
          <w:sz w:val="24"/>
          <w:szCs w:val="24"/>
          <w:rtl w:val="0"/>
          <w:lang w:val="ru-RU"/>
        </w:rPr>
        <w:t>П</w:t>
      </w:r>
      <w:r>
        <w:rPr>
          <w:sz w:val="24"/>
          <w:szCs w:val="24"/>
          <w:rtl w:val="0"/>
          <w:lang w:val="ru-RU"/>
        </w:rPr>
        <w:t>000571</w:t>
      </w:r>
    </w:p>
    <w:p>
      <w:pPr>
        <w:pStyle w:val="Normal.0"/>
        <w:spacing w:line="240" w:lineRule="auto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“Торги в форме </w:t>
      </w:r>
      <w:bookmarkStart w:name="ВидАукцион_РП" w:id="5"/>
      <w:bookmarkEnd w:id="5"/>
      <w:r>
        <w:rPr>
          <w:sz w:val="24"/>
          <w:szCs w:val="24"/>
          <w:rtl w:val="0"/>
          <w:lang w:val="ru-RU"/>
        </w:rPr>
        <w:t>п</w:t>
      </w:r>
      <w:r>
        <w:rPr>
          <w:sz w:val="24"/>
          <w:szCs w:val="24"/>
          <w:rtl w:val="0"/>
          <w:lang w:val="ru-RU"/>
        </w:rPr>
        <w:t xml:space="preserve">убличного предложения по продаже имущества должника </w:t>
      </w:r>
      <w:bookmarkStart w:name="ПолнНаимДолжник" w:id="6"/>
      <w:bookmarkEnd w:id="6"/>
      <w:r>
        <w:rPr>
          <w:sz w:val="24"/>
          <w:szCs w:val="24"/>
          <w:rtl w:val="0"/>
          <w:lang w:val="ru-RU"/>
        </w:rPr>
        <w:t>А</w:t>
      </w:r>
      <w:r>
        <w:rPr>
          <w:sz w:val="24"/>
          <w:szCs w:val="24"/>
          <w:rtl w:val="0"/>
          <w:lang w:val="ru-RU"/>
        </w:rPr>
        <w:t>кционерное обще</w:t>
      </w:r>
      <w:r>
        <w:rPr>
          <w:sz w:val="24"/>
          <w:szCs w:val="24"/>
          <w:rtl w:val="0"/>
          <w:lang w:val="ru-RU"/>
        </w:rPr>
        <w:t>ство</w:t>
      </w:r>
      <w:r>
        <w:rPr>
          <w:sz w:val="24"/>
          <w:szCs w:val="24"/>
          <w:rtl w:val="0"/>
          <w:lang w:val="ru-RU"/>
        </w:rPr>
        <w:t xml:space="preserve"> "</w:t>
      </w:r>
      <w:r>
        <w:rPr>
          <w:sz w:val="24"/>
          <w:szCs w:val="24"/>
          <w:rtl w:val="0"/>
          <w:lang w:val="ru-RU"/>
        </w:rPr>
        <w:t>РусНедра</w:t>
      </w:r>
      <w:r>
        <w:rPr>
          <w:sz w:val="24"/>
          <w:szCs w:val="24"/>
          <w:rtl w:val="0"/>
          <w:lang w:val="ru-RU"/>
        </w:rPr>
        <w:t>"</w:t>
      </w:r>
      <w:r>
        <w:rPr>
          <w:sz w:val="24"/>
          <w:szCs w:val="24"/>
          <w:rtl w:val="0"/>
          <w:lang w:val="ru-RU"/>
        </w:rPr>
        <w:t>”</w:t>
      </w:r>
      <w:r>
        <w:rPr>
          <w:sz w:val="24"/>
          <w:szCs w:val="24"/>
          <w:rtl w:val="0"/>
          <w:lang w:val="ru-RU"/>
        </w:rPr>
        <w:t>.</w:t>
      </w:r>
    </w:p>
    <w:p>
      <w:pPr>
        <w:pStyle w:val="Normal.0"/>
        <w:spacing w:line="240" w:lineRule="auto"/>
        <w:rPr>
          <w:sz w:val="24"/>
          <w:szCs w:val="24"/>
        </w:rPr>
      </w:pPr>
    </w:p>
    <w:p>
      <w:pPr>
        <w:pStyle w:val="List Paragraph"/>
        <w:numPr>
          <w:ilvl w:val="0"/>
          <w:numId w:val="2"/>
        </w:numPr>
        <w:bidi w:val="0"/>
        <w:spacing w:line="240" w:lineRule="auto"/>
        <w:ind w:right="0"/>
        <w:jc w:val="left"/>
        <w:rPr>
          <w:sz w:val="24"/>
          <w:szCs w:val="24"/>
          <w:rtl w:val="0"/>
          <w:lang w:val="ru-RU"/>
        </w:rPr>
      </w:pPr>
      <w:r>
        <w:rPr>
          <w:b w:val="1"/>
          <w:bCs w:val="1"/>
          <w:sz w:val="24"/>
          <w:szCs w:val="24"/>
          <w:rtl w:val="0"/>
          <w:lang w:val="ru-RU"/>
        </w:rPr>
        <w:t>Информация о</w:t>
      </w:r>
      <w:r>
        <w:rPr>
          <w:b w:val="1"/>
          <w:bCs w:val="1"/>
          <w:sz w:val="24"/>
          <w:szCs w:val="24"/>
          <w:rtl w:val="0"/>
          <w:lang w:val="ru-RU"/>
        </w:rPr>
        <w:t>/</w:t>
      </w:r>
      <w:r>
        <w:rPr>
          <w:b w:val="1"/>
          <w:bCs w:val="1"/>
          <w:sz w:val="24"/>
          <w:szCs w:val="24"/>
          <w:rtl w:val="0"/>
          <w:lang w:val="ru-RU"/>
        </w:rPr>
        <w:t xml:space="preserve">об </w:t>
      </w:r>
      <w:bookmarkStart w:name="ВидАукцион_ПП" w:id="7"/>
      <w:bookmarkEnd w:id="7"/>
      <w:r>
        <w:rPr>
          <w:b w:val="1"/>
          <w:bCs w:val="1"/>
          <w:sz w:val="24"/>
          <w:szCs w:val="24"/>
          <w:rtl w:val="0"/>
          <w:lang w:val="ru-RU"/>
        </w:rPr>
        <w:t>п</w:t>
      </w:r>
      <w:r>
        <w:rPr>
          <w:b w:val="1"/>
          <w:bCs w:val="1"/>
          <w:sz w:val="24"/>
          <w:szCs w:val="24"/>
          <w:rtl w:val="0"/>
          <w:lang w:val="ru-RU"/>
        </w:rPr>
        <w:t>убличном предложении</w:t>
      </w:r>
      <w:r>
        <w:rPr>
          <w:sz w:val="24"/>
          <w:szCs w:val="24"/>
          <w:rtl w:val="0"/>
          <w:lang w:val="ru-RU"/>
        </w:rPr>
        <w:t xml:space="preserve"> </w:t>
      </w:r>
      <w:r>
        <w:rPr>
          <w:b w:val="1"/>
          <w:bCs w:val="1"/>
          <w:sz w:val="24"/>
          <w:szCs w:val="24"/>
          <w:rtl w:val="0"/>
          <w:lang w:val="ru-RU"/>
        </w:rPr>
        <w:t>№</w:t>
      </w:r>
      <w:r>
        <w:rPr>
          <w:sz w:val="24"/>
          <w:szCs w:val="24"/>
          <w:rtl w:val="0"/>
          <w:lang w:val="ru-RU"/>
        </w:rPr>
        <w:t xml:space="preserve"> </w:t>
      </w:r>
      <w:bookmarkStart w:name="НомерАукцион_1" w:id="8"/>
      <w:bookmarkEnd w:id="8"/>
      <w:r>
        <w:rPr>
          <w:sz w:val="24"/>
          <w:szCs w:val="24"/>
          <w:rtl w:val="0"/>
          <w:lang w:val="ru-RU"/>
        </w:rPr>
        <w:t>П</w:t>
      </w:r>
      <w:r>
        <w:rPr>
          <w:sz w:val="24"/>
          <w:szCs w:val="24"/>
          <w:rtl w:val="0"/>
          <w:lang w:val="ru-RU"/>
        </w:rPr>
        <w:t>П</w:t>
      </w:r>
      <w:r>
        <w:rPr>
          <w:sz w:val="24"/>
          <w:szCs w:val="24"/>
          <w:rtl w:val="0"/>
          <w:lang w:val="ru-RU"/>
        </w:rPr>
        <w:t>000571</w:t>
      </w:r>
      <w:r>
        <w:rPr>
          <w:sz w:val="24"/>
          <w:szCs w:val="24"/>
          <w:rtl w:val="0"/>
          <w:lang w:val="en-US"/>
        </w:rPr>
        <w:t>.</w:t>
      </w:r>
    </w:p>
    <w:tbl>
      <w:tblPr>
        <w:tblW w:w="1068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2875"/>
        <w:gridCol w:w="7807"/>
      </w:tblGrid>
      <w:tr>
        <w:tblPrEx>
          <w:shd w:val="clear" w:color="auto" w:fill="ced7e7"/>
        </w:tblPrEx>
        <w:trPr>
          <w:trHeight w:val="257" w:hRule="atLeast"/>
        </w:trPr>
        <w:tc>
          <w:tcPr>
            <w:tcW w:type="dxa" w:w="28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Поля</w:t>
            </w:r>
          </w:p>
        </w:tc>
        <w:tc>
          <w:tcPr>
            <w:tcW w:type="dxa" w:w="78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Вставка</w:t>
            </w:r>
          </w:p>
        </w:tc>
      </w:tr>
      <w:tr>
        <w:tblPrEx>
          <w:shd w:val="clear" w:color="auto" w:fill="ced7e7"/>
        </w:tblPrEx>
        <w:trPr>
          <w:trHeight w:val="557" w:hRule="atLeast"/>
        </w:trPr>
        <w:tc>
          <w:tcPr>
            <w:tcW w:type="dxa" w:w="28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Форма представления предложений о цене</w:t>
            </w:r>
          </w:p>
        </w:tc>
        <w:tc>
          <w:tcPr>
            <w:tcW w:type="dxa" w:w="78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Открытая</w:t>
            </w:r>
          </w:p>
        </w:tc>
      </w:tr>
      <w:tr>
        <w:tblPrEx>
          <w:shd w:val="clear" w:color="auto" w:fill="ced7e7"/>
        </w:tblPrEx>
        <w:trPr>
          <w:trHeight w:val="557" w:hRule="atLeast"/>
        </w:trPr>
        <w:tc>
          <w:tcPr>
            <w:tcW w:type="dxa" w:w="28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</w:t>
            </w:r>
          </w:p>
        </w:tc>
        <w:tc>
          <w:tcPr>
            <w:tcW w:type="dxa" w:w="78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Торги в форме публичного предложения по продаже имущества  Акционерное обще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ство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 "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РусНедра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".</w:t>
            </w:r>
          </w:p>
        </w:tc>
      </w:tr>
      <w:tr>
        <w:tblPrEx>
          <w:shd w:val="clear" w:color="auto" w:fill="ced7e7"/>
        </w:tblPrEx>
        <w:trPr>
          <w:trHeight w:val="2357" w:hRule="atLeast"/>
        </w:trPr>
        <w:tc>
          <w:tcPr>
            <w:tcW w:type="dxa" w:w="28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Дополнительные сведения</w:t>
            </w:r>
          </w:p>
        </w:tc>
        <w:tc>
          <w:tcPr>
            <w:tcW w:type="dxa" w:w="78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Лот №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2: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Права требования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дебиторская задолженность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)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к ООО «Атлант» 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2383250,00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.;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ООО «ТПК Инком» 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390000,00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.;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ООО «ВСГК Сибирь» 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3063271,50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.;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Василив А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В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746253,19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.;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ООО «Алтан Групп» 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1419000,00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.;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ООО «ТПК Инком» 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1250000,00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.;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ООО «Алтан Групп» 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14443,00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Начальная цена продажи Лота 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9501774,69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);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минимальная цена продажи Лота 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95017,75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). .</w:t>
            </w:r>
          </w:p>
        </w:tc>
      </w:tr>
      <w:tr>
        <w:tblPrEx>
          <w:shd w:val="clear" w:color="auto" w:fill="ced7e7"/>
        </w:tblPrEx>
        <w:trPr>
          <w:trHeight w:val="1757" w:hRule="atLeast"/>
        </w:trPr>
        <w:tc>
          <w:tcPr>
            <w:tcW w:type="dxa" w:w="28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Определение победителя торгов</w:t>
            </w:r>
          </w:p>
        </w:tc>
        <w:tc>
          <w:tcPr>
            <w:tcW w:type="dxa" w:w="78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Победителем электронных торгов по продаже имущества должника посредством  публичного предложения признается участник открытых торгов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который первым представил в установленный срок заявку на участие в торгах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содержащую предложение о цене имущества должника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которая не ниже начальной цены продажи имущества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установленной для определенного периода проведения торгов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557" w:hRule="atLeast"/>
        </w:trPr>
        <w:tc>
          <w:tcPr>
            <w:tcW w:type="dxa" w:w="28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Порядок представления заявок на участие в торгах</w:t>
            </w:r>
          </w:p>
        </w:tc>
        <w:tc>
          <w:tcPr>
            <w:tcW w:type="dxa" w:w="78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[</w:t>
            </w: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Подача заявок на участие в торгах производится в электронной форме на сайте в сети Интернет по адресу</w:t>
            </w: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rStyle w:val="Hyperlink.0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lang w:val="en-US"/>
                <w14:textFill>
                  <w14:solidFill>
                    <w14:srgbClr w14:val="000000"/>
                  </w14:solidFill>
                </w14:textFill>
              </w:rPr>
              <w:fldChar w:fldCharType="begin" w:fldLock="0"/>
            </w:r>
            <w:r>
              <w:rPr>
                <w:rStyle w:val="Hyperlink.0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lang w:val="en-US"/>
                <w14:textFill>
                  <w14:solidFill>
                    <w14:srgbClr w14:val="000000"/>
                  </w14:solidFill>
                </w14:textFill>
              </w:rPr>
              <w:instrText xml:space="preserve"> HYPERLINK "http://eurtp.ru/"</w:instrText>
            </w:r>
            <w:r>
              <w:rPr>
                <w:rStyle w:val="Hyperlink.0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lang w:val="en-US"/>
                <w14:textFill>
                  <w14:solidFill>
                    <w14:srgbClr w14:val="000000"/>
                  </w14:solidFill>
                </w14:textFill>
              </w:rPr>
              <w:fldChar w:fldCharType="separate" w:fldLock="0"/>
            </w:r>
            <w:r>
              <w:rPr>
                <w:rStyle w:val="Hyperlink.0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>http</w:t>
            </w:r>
            <w:r>
              <w:rPr>
                <w:rStyle w:val="Ссылка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://</w:t>
            </w:r>
            <w:r>
              <w:rPr>
                <w:rStyle w:val="Hyperlink.0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>eurtp</w:t>
            </w:r>
            <w:r>
              <w:rPr>
                <w:rStyle w:val="Ссылка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.</w:t>
            </w:r>
            <w:r>
              <w:rPr>
                <w:rStyle w:val="Hyperlink.0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>ru</w:t>
            </w:r>
            <w:r>
              <w:rPr>
                <w:rStyle w:val="Ссылка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/</w:t>
            </w:r>
            <w:r>
              <w:rPr>
                <w:b w:val="1"/>
                <w:bCs w:val="1"/>
                <w:sz w:val="24"/>
                <w:szCs w:val="24"/>
              </w:rPr>
              <w:fldChar w:fldCharType="end" w:fldLock="0"/>
            </w: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]</w:t>
            </w:r>
          </w:p>
        </w:tc>
      </w:tr>
      <w:tr>
        <w:tblPrEx>
          <w:shd w:val="clear" w:color="auto" w:fill="ced7e7"/>
        </w:tblPrEx>
        <w:trPr>
          <w:trHeight w:val="557" w:hRule="atLeast"/>
        </w:trPr>
        <w:tc>
          <w:tcPr>
            <w:tcW w:type="dxa" w:w="28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начала приема заявок на участие</w:t>
            </w:r>
          </w:p>
        </w:tc>
        <w:tc>
          <w:tcPr>
            <w:tcW w:type="dxa" w:w="78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09.06.2025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года в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9:00</w:t>
            </w:r>
          </w:p>
        </w:tc>
      </w:tr>
      <w:tr>
        <w:tblPrEx>
          <w:shd w:val="clear" w:color="auto" w:fill="ced7e7"/>
        </w:tblPrEx>
        <w:trPr>
          <w:trHeight w:val="557" w:hRule="atLeast"/>
        </w:trPr>
        <w:tc>
          <w:tcPr>
            <w:tcW w:type="dxa" w:w="28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окончания приема заявок на участие</w:t>
            </w:r>
          </w:p>
        </w:tc>
        <w:tc>
          <w:tcPr>
            <w:tcW w:type="dxa" w:w="78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23.07.2025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года в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17:00</w:t>
            </w:r>
          </w:p>
        </w:tc>
      </w:tr>
      <w:tr>
        <w:tblPrEx>
          <w:shd w:val="clear" w:color="auto" w:fill="ced7e7"/>
        </w:tblPrEx>
        <w:trPr>
          <w:trHeight w:val="1157" w:hRule="atLeast"/>
        </w:trPr>
        <w:tc>
          <w:tcPr>
            <w:tcW w:type="dxa" w:w="28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type="dxa" w:w="78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07.06.2025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года в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0:00</w:t>
            </w:r>
          </w:p>
        </w:tc>
      </w:tr>
      <w:tr>
        <w:tblPrEx>
          <w:shd w:val="clear" w:color="auto" w:fill="ced7e7"/>
        </w:tblPrEx>
        <w:trPr>
          <w:trHeight w:val="857" w:hRule="atLeast"/>
        </w:trPr>
        <w:tc>
          <w:tcPr>
            <w:tcW w:type="dxa" w:w="28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публикации в печатном органе по месту нахождения должника </w:t>
            </w:r>
          </w:p>
        </w:tc>
        <w:tc>
          <w:tcPr>
            <w:tcW w:type="dxa" w:w="78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07.06.2025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года в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0:00</w:t>
            </w:r>
          </w:p>
        </w:tc>
      </w:tr>
      <w:tr>
        <w:tblPrEx>
          <w:shd w:val="clear" w:color="auto" w:fill="ced7e7"/>
        </w:tblPrEx>
        <w:trPr>
          <w:trHeight w:val="1157" w:hRule="atLeast"/>
        </w:trPr>
        <w:tc>
          <w:tcPr>
            <w:tcW w:type="dxa" w:w="28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type="dxa" w:w="78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06.06.2025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года в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13:05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Normal.0"/>
        <w:ind w:firstLine="708"/>
        <w:rPr>
          <w:sz w:val="24"/>
          <w:szCs w:val="24"/>
          <w:lang w:val="en-US"/>
        </w:rPr>
      </w:pPr>
    </w:p>
    <w:p>
      <w:pPr>
        <w:pStyle w:val="List Paragraph"/>
        <w:numPr>
          <w:ilvl w:val="0"/>
          <w:numId w:val="4"/>
        </w:numPr>
        <w:bidi w:val="0"/>
        <w:spacing w:line="240" w:lineRule="auto"/>
        <w:ind w:right="0"/>
        <w:jc w:val="left"/>
        <w:rPr>
          <w:b w:val="1"/>
          <w:bCs w:val="1"/>
          <w:sz w:val="24"/>
          <w:szCs w:val="24"/>
          <w:rtl w:val="0"/>
          <w:lang w:val="ru-RU"/>
        </w:rPr>
      </w:pPr>
      <w:r>
        <w:rPr>
          <w:b w:val="1"/>
          <w:bCs w:val="1"/>
          <w:sz w:val="24"/>
          <w:szCs w:val="24"/>
          <w:rtl w:val="0"/>
          <w:lang w:val="ru-RU"/>
        </w:rPr>
        <w:t>Организатор торгов</w:t>
      </w:r>
    </w:p>
    <w:tbl>
      <w:tblPr>
        <w:tblW w:w="1068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5341"/>
        <w:gridCol w:w="5341"/>
      </w:tblGrid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ФИО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Марков Виктор  Константинович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ИНН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645400410468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Normal.0"/>
        <w:spacing w:line="240" w:lineRule="auto"/>
        <w:ind w:firstLine="708"/>
        <w:rPr>
          <w:sz w:val="24"/>
          <w:szCs w:val="24"/>
        </w:rPr>
      </w:pPr>
    </w:p>
    <w:p>
      <w:pPr>
        <w:pStyle w:val="List Paragraph"/>
        <w:numPr>
          <w:ilvl w:val="0"/>
          <w:numId w:val="5"/>
        </w:numPr>
        <w:bidi w:val="0"/>
        <w:spacing w:line="240" w:lineRule="auto"/>
        <w:ind w:right="0"/>
        <w:jc w:val="left"/>
        <w:rPr>
          <w:b w:val="1"/>
          <w:bCs w:val="1"/>
          <w:sz w:val="24"/>
          <w:szCs w:val="24"/>
          <w:rtl w:val="0"/>
          <w:lang w:val="ru-RU"/>
        </w:rPr>
      </w:pPr>
      <w:r>
        <w:rPr>
          <w:b w:val="1"/>
          <w:bCs w:val="1"/>
          <w:sz w:val="24"/>
          <w:szCs w:val="24"/>
          <w:rtl w:val="0"/>
          <w:lang w:val="ru-RU"/>
        </w:rPr>
        <w:t>Арбитражный управляющий</w:t>
      </w:r>
    </w:p>
    <w:tbl>
      <w:tblPr>
        <w:tblW w:w="1068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5341"/>
        <w:gridCol w:w="5341"/>
      </w:tblGrid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ФИО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Марков  Виктор Константинович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ИНН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645400410468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СРО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САУ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"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Авангард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"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Регистрационный номер ФРС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005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Normal.0"/>
        <w:spacing w:line="240" w:lineRule="auto"/>
        <w:ind w:firstLine="708"/>
        <w:rPr>
          <w:sz w:val="24"/>
          <w:szCs w:val="24"/>
        </w:rPr>
      </w:pPr>
    </w:p>
    <w:p>
      <w:pPr>
        <w:pStyle w:val="List Paragraph"/>
        <w:numPr>
          <w:ilvl w:val="0"/>
          <w:numId w:val="6"/>
        </w:numPr>
        <w:bidi w:val="0"/>
        <w:spacing w:line="240" w:lineRule="auto"/>
        <w:ind w:right="0"/>
        <w:jc w:val="left"/>
        <w:rPr>
          <w:b w:val="1"/>
          <w:bCs w:val="1"/>
          <w:sz w:val="24"/>
          <w:szCs w:val="24"/>
          <w:rtl w:val="0"/>
          <w:lang w:val="ru-RU"/>
        </w:rPr>
      </w:pPr>
      <w:r>
        <w:rPr>
          <w:b w:val="1"/>
          <w:bCs w:val="1"/>
          <w:sz w:val="24"/>
          <w:szCs w:val="24"/>
          <w:rtl w:val="0"/>
          <w:lang w:val="ru-RU"/>
        </w:rPr>
        <w:t>Сведения о судебном деле</w:t>
      </w:r>
    </w:p>
    <w:tbl>
      <w:tblPr>
        <w:tblW w:w="1068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5341"/>
        <w:gridCol w:w="5341"/>
      </w:tblGrid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арбитражного суда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Арбитражный суд Иркутской области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Номер дела о банкротстве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№А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19-7451/2020</w:t>
            </w:r>
          </w:p>
        </w:tc>
      </w:tr>
      <w:tr>
        <w:tblPrEx>
          <w:shd w:val="clear" w:color="auto" w:fill="ced7e7"/>
        </w:tblPrEx>
        <w:trPr>
          <w:trHeight w:val="5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Основание для проведения торгов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Решение арбитражного суда Иркутской области от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18.10.2021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 делу №А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19-7451/2020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Normal.0"/>
        <w:spacing w:line="240" w:lineRule="auto"/>
        <w:ind w:firstLine="708"/>
        <w:rPr>
          <w:sz w:val="24"/>
          <w:szCs w:val="24"/>
        </w:rPr>
      </w:pPr>
    </w:p>
    <w:p>
      <w:pPr>
        <w:pStyle w:val="List Paragraph"/>
        <w:numPr>
          <w:ilvl w:val="0"/>
          <w:numId w:val="7"/>
        </w:numPr>
        <w:bidi w:val="0"/>
        <w:spacing w:line="240" w:lineRule="auto"/>
        <w:ind w:right="0"/>
        <w:jc w:val="left"/>
        <w:rPr>
          <w:b w:val="1"/>
          <w:bCs w:val="1"/>
          <w:sz w:val="24"/>
          <w:szCs w:val="24"/>
          <w:rtl w:val="0"/>
          <w:lang w:val="ru-RU"/>
        </w:rPr>
      </w:pPr>
      <w:r>
        <w:rPr>
          <w:b w:val="1"/>
          <w:bCs w:val="1"/>
          <w:sz w:val="24"/>
          <w:szCs w:val="24"/>
          <w:rtl w:val="0"/>
          <w:lang w:val="ru-RU"/>
        </w:rPr>
        <w:t>Информация о должнике</w:t>
      </w:r>
    </w:p>
    <w:tbl>
      <w:tblPr>
        <w:tblW w:w="1068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5341"/>
        <w:gridCol w:w="5341"/>
      </w:tblGrid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Тип должника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Юридическое лицо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Полное наименование организации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Акционерное обще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ство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 "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РусНедра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"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Краткое наименование организации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АО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"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РусНедра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"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ИНН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3811173810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ОГРН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1133850044756</w:t>
            </w:r>
          </w:p>
        </w:tc>
      </w:tr>
      <w:tr>
        <w:tblPrEx>
          <w:shd w:val="clear" w:color="auto" w:fill="ced7e7"/>
        </w:tblPrEx>
        <w:trPr>
          <w:trHeight w:val="56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Порядок и срок заключения договора купли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продажи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В течение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5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календарных дней с даты подписания Протокола конкурсный управляющий направляет победителю торгов предложение заключить договор купли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продажи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уступки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 приложением проекта договора в соответствии с представленным победителем торгов предложением о цене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В случае отказа или уклонения победителя торгов от подписания договора в течение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5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календарных дней с даты получения указанного предложения конкурсного управляющего внесенный задаток ему не возвращается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а включается в состав имущества Должника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Оплата в соответствии с договором купли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продажи должна быть осуществлена покупателем в течение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30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календарных дней со дня подписания договора на расчетный счет должника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40702810252000001898,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 САРАТОВСКИЙ РФ АО «РОССЕЛЬХОЗБАНК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",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БИК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046311843. 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Normal.0"/>
        <w:spacing w:line="240" w:lineRule="auto"/>
        <w:ind w:firstLine="708"/>
        <w:rPr>
          <w:sz w:val="24"/>
          <w:szCs w:val="24"/>
        </w:rPr>
      </w:pPr>
    </w:p>
    <w:p>
      <w:pPr>
        <w:pStyle w:val="List Paragraph"/>
        <w:numPr>
          <w:ilvl w:val="0"/>
          <w:numId w:val="8"/>
        </w:numPr>
        <w:bidi w:val="0"/>
        <w:spacing w:line="240" w:lineRule="auto"/>
        <w:ind w:right="0"/>
        <w:jc w:val="left"/>
        <w:rPr>
          <w:b w:val="1"/>
          <w:bCs w:val="1"/>
          <w:sz w:val="24"/>
          <w:szCs w:val="24"/>
          <w:rtl w:val="0"/>
          <w:lang w:val="ru-RU"/>
        </w:rPr>
      </w:pPr>
      <w:r>
        <w:rPr>
          <w:b w:val="1"/>
          <w:bCs w:val="1"/>
          <w:sz w:val="24"/>
          <w:szCs w:val="24"/>
          <w:rtl w:val="0"/>
          <w:lang w:val="ru-RU"/>
        </w:rPr>
        <w:t>Контактное лицо</w:t>
      </w:r>
    </w:p>
    <w:tbl>
      <w:tblPr>
        <w:tblW w:w="1068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5341"/>
        <w:gridCol w:w="5341"/>
      </w:tblGrid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ФИО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Марков Виктор Константинович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Контактный телефон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89272239284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Адрес электронной почты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avangardsar@mail.ru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Normal.0"/>
        <w:spacing w:line="240" w:lineRule="auto"/>
        <w:ind w:firstLine="708"/>
        <w:rPr>
          <w:sz w:val="24"/>
          <w:szCs w:val="24"/>
        </w:rPr>
      </w:pPr>
    </w:p>
    <w:p>
      <w:pPr>
        <w:pStyle w:val="List Paragraph"/>
        <w:numPr>
          <w:ilvl w:val="0"/>
          <w:numId w:val="9"/>
        </w:numPr>
        <w:bidi w:val="0"/>
        <w:spacing w:line="240" w:lineRule="auto"/>
        <w:ind w:right="0"/>
        <w:jc w:val="left"/>
        <w:rPr>
          <w:b w:val="1"/>
          <w:bCs w:val="1"/>
          <w:sz w:val="24"/>
          <w:szCs w:val="24"/>
          <w:rtl w:val="0"/>
          <w:lang w:val="ru-RU"/>
        </w:rPr>
      </w:pPr>
      <w:r>
        <w:rPr>
          <w:b w:val="1"/>
          <w:bCs w:val="1"/>
          <w:sz w:val="24"/>
          <w:szCs w:val="24"/>
          <w:rtl w:val="0"/>
          <w:lang w:val="ru-RU"/>
        </w:rPr>
        <w:t>Лоты</w:t>
      </w:r>
    </w:p>
    <w:p>
      <w:pPr>
        <w:pStyle w:val="Normal.0"/>
        <w:spacing w:line="240" w:lineRule="auto"/>
        <w:ind w:firstLine="708"/>
        <w:rPr>
          <w:sz w:val="24"/>
          <w:szCs w:val="24"/>
        </w:rPr>
      </w:pPr>
      <w:bookmarkStart w:name="ЛотНазвание_1" w:id="9"/>
      <w:bookmarkEnd w:id="9"/>
      <w:r>
        <w:rPr>
          <w:sz w:val="24"/>
          <w:szCs w:val="24"/>
          <w:rtl w:val="0"/>
          <w:lang w:val="ru-RU"/>
        </w:rPr>
        <w:t>Л</w:t>
      </w:r>
      <w:r>
        <w:rPr>
          <w:sz w:val="24"/>
          <w:szCs w:val="24"/>
          <w:rtl w:val="0"/>
          <w:lang w:val="ru-RU"/>
        </w:rPr>
        <w:t xml:space="preserve">от </w:t>
      </w:r>
      <w:r>
        <w:rPr>
          <w:sz w:val="24"/>
          <w:szCs w:val="24"/>
          <w:rtl w:val="0"/>
          <w:lang w:val="ru-RU"/>
        </w:rPr>
        <w:t xml:space="preserve">2. </w:t>
      </w:r>
      <w:bookmarkStart w:name="Лот_1" w:id="10"/>
      <w:bookmarkEnd w:id="10"/>
    </w:p>
    <w:tbl>
      <w:tblPr>
        <w:tblW w:w="1068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5341"/>
        <w:gridCol w:w="5341"/>
      </w:tblGrid>
      <w:tr>
        <w:tblPrEx>
          <w:shd w:val="clear" w:color="auto" w:fill="ced7e7"/>
        </w:tblPrEx>
        <w:trPr>
          <w:trHeight w:val="35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лота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Лот №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2: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Права требования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дебиторская задолженность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к ООО «Атлант» 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2383250,00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.;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ООО «ТПК Инком» 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390000,00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.;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ООО «ВСГК Сибирь» 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3063271,50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.;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Василив 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746253,19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.;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ООО «Алтан Групп» 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1419000,00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.;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ООО «ТПК Инком» 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1250000,00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.;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ООО «Алтан Групп» 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14443,00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Начальная цена продажи Лота 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9501774,69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);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минимальная цена продажи Лота 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95017,75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). </w:t>
            </w:r>
          </w:p>
        </w:tc>
      </w:tr>
      <w:tr>
        <w:tblPrEx>
          <w:shd w:val="clear" w:color="auto" w:fill="ced7e7"/>
        </w:tblPrEx>
        <w:trPr>
          <w:trHeight w:val="38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Порядок оформления участия в торгах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перечень представляемых участниками торгов документов и требования к их оформлению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Заявки на участие подаются посредством системы электронного документооборота в сети Интернет на сайте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www.eurtp.ru.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Прием заявок осуществляется 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09:00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МСК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09.06.2025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17:00 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МСК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23.07.2025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включительно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Заявка на участие в торгах оформляется в форме электронного документа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подписанного квалифицированной электронной подписью заявителя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 должна содержать сведения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соответствующие требованиям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установленным ст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110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139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Закона о несостоятельности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банкротстве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 приказом Министерства экономического развития РФ №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495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от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23.07.2015. </w:t>
            </w:r>
          </w:p>
        </w:tc>
      </w:tr>
      <w:tr>
        <w:tblPrEx>
          <w:shd w:val="clear" w:color="auto" w:fill="ced7e7"/>
        </w:tblPrEx>
        <w:trPr>
          <w:trHeight w:val="35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Сведения об имуществе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его составе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характеристиках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описание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порядок ознакомления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Лот №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2: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Права требования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дебиторская задолженность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к ООО «Атлант» 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2383250,00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.;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ООО «ТПК Инком» 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390000,00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.;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ООО «ВСГК Сибирь» 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3063271,50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.;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Василив 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746253,19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.;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ООО «Алтан Групп» 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1419000,00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.;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ООО «ТПК Инком» 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1250000,00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.;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ООО «Алтан Групп» 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14443,00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Начальная цена продажи Лота 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9501774,69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);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минимальная цена продажи Лота 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95017,75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). 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Начальная цена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9501774,00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Обеспечение задатка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Процент от начальной цены лота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Размер задатка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10</w:t>
            </w:r>
          </w:p>
        </w:tc>
      </w:tr>
      <w:tr>
        <w:tblPrEx>
          <w:shd w:val="clear" w:color="auto" w:fill="ced7e7"/>
        </w:tblPrEx>
        <w:trPr>
          <w:trHeight w:val="17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Порядок внесения и возврата задатка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Задаток вносится не позднее даты окончания приема заявок на участие в торгах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Реквизиты для внесения задатка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40702810652000001906,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 САРАТОВСКИЙ РФ АО «РОССЕЛЬХОЗБАНК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",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БИК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046311843,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 указанием «задаток для участия в открытых торгах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Лот №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2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</w:p>
        </w:tc>
      </w:tr>
      <w:tr>
        <w:tblPrEx>
          <w:shd w:val="clear" w:color="auto" w:fill="ced7e7"/>
        </w:tblPrEx>
        <w:trPr>
          <w:trHeight w:val="17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Счет для внесения задатка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Задаток вносится не позднее даты окончания приема заявок на участие в торгах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Реквизиты для внесения задатка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40702810652000001906,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 САРАТОВСКИЙ РФ АО «РОССЕЛЬХОЗБАНК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",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БИК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046311843,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 указанием «задаток для участия в открытых торгах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Лот №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2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Normal.0"/>
        <w:widowControl w:val="0"/>
        <w:spacing w:line="240" w:lineRule="auto"/>
        <w:rPr>
          <w:sz w:val="24"/>
          <w:szCs w:val="24"/>
        </w:rPr>
      </w:pPr>
    </w:p>
    <w:p>
      <w:pPr>
        <w:pStyle w:val="Normal.0"/>
        <w:spacing w:line="240" w:lineRule="auto"/>
        <w:ind w:firstLine="708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" w:id="11"/>
      <w:bookmarkEnd w:id="11"/>
      <w:r>
        <w:rPr>
          <w:sz w:val="24"/>
          <w:szCs w:val="24"/>
          <w:rtl w:val="0"/>
          <w:lang w:val="ru-RU"/>
        </w:rPr>
        <w:t xml:space="preserve"> </w:t>
      </w:r>
      <w:bookmarkStart w:name="Лот_2" w:id="12"/>
      <w:bookmarkEnd w:id="12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3" w:id="13"/>
      <w:bookmarkEnd w:id="13"/>
      <w:r>
        <w:rPr>
          <w:sz w:val="24"/>
          <w:szCs w:val="24"/>
          <w:rtl w:val="0"/>
          <w:lang w:val="ru-RU"/>
        </w:rPr>
        <w:t xml:space="preserve"> </w:t>
      </w:r>
      <w:bookmarkStart w:name="Лот_3" w:id="14"/>
      <w:bookmarkEnd w:id="14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4" w:id="15"/>
      <w:bookmarkEnd w:id="15"/>
      <w:r>
        <w:rPr>
          <w:sz w:val="24"/>
          <w:szCs w:val="24"/>
          <w:rtl w:val="0"/>
          <w:lang w:val="ru-RU"/>
        </w:rPr>
        <w:t xml:space="preserve"> </w:t>
      </w:r>
      <w:bookmarkStart w:name="Лот_4" w:id="16"/>
      <w:bookmarkEnd w:id="16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5" w:id="17"/>
      <w:bookmarkEnd w:id="17"/>
      <w:r>
        <w:rPr>
          <w:sz w:val="24"/>
          <w:szCs w:val="24"/>
          <w:rtl w:val="0"/>
          <w:lang w:val="ru-RU"/>
        </w:rPr>
        <w:t xml:space="preserve"> </w:t>
      </w:r>
      <w:bookmarkStart w:name="Лот_5" w:id="18"/>
      <w:bookmarkEnd w:id="18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6" w:id="19"/>
      <w:bookmarkEnd w:id="19"/>
      <w:r>
        <w:rPr>
          <w:sz w:val="24"/>
          <w:szCs w:val="24"/>
          <w:rtl w:val="0"/>
          <w:lang w:val="ru-RU"/>
        </w:rPr>
        <w:t xml:space="preserve"> </w:t>
      </w:r>
      <w:bookmarkStart w:name="Лот_6" w:id="20"/>
      <w:bookmarkEnd w:id="20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7" w:id="21"/>
      <w:bookmarkEnd w:id="21"/>
      <w:r>
        <w:rPr>
          <w:sz w:val="24"/>
          <w:szCs w:val="24"/>
          <w:rtl w:val="0"/>
          <w:lang w:val="ru-RU"/>
        </w:rPr>
        <w:t xml:space="preserve"> </w:t>
      </w:r>
      <w:bookmarkStart w:name="Лот_7" w:id="22"/>
      <w:bookmarkEnd w:id="22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8" w:id="23"/>
      <w:bookmarkEnd w:id="23"/>
      <w:r>
        <w:rPr>
          <w:sz w:val="24"/>
          <w:szCs w:val="24"/>
          <w:rtl w:val="0"/>
          <w:lang w:val="ru-RU"/>
        </w:rPr>
        <w:t xml:space="preserve"> </w:t>
      </w:r>
      <w:bookmarkStart w:name="Лот_8" w:id="24"/>
      <w:bookmarkEnd w:id="24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9" w:id="25"/>
      <w:bookmarkEnd w:id="25"/>
      <w:r>
        <w:rPr>
          <w:sz w:val="24"/>
          <w:szCs w:val="24"/>
          <w:rtl w:val="0"/>
          <w:lang w:val="ru-RU"/>
        </w:rPr>
        <w:t xml:space="preserve"> </w:t>
      </w:r>
      <w:bookmarkStart w:name="Лот_9" w:id="26"/>
      <w:bookmarkEnd w:id="26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0" w:id="27"/>
      <w:bookmarkEnd w:id="27"/>
      <w:r>
        <w:rPr>
          <w:sz w:val="24"/>
          <w:szCs w:val="24"/>
          <w:rtl w:val="0"/>
          <w:lang w:val="ru-RU"/>
        </w:rPr>
        <w:t xml:space="preserve"> </w:t>
      </w:r>
      <w:bookmarkStart w:name="Лот_10" w:id="28"/>
      <w:bookmarkEnd w:id="28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1" w:id="29"/>
      <w:bookmarkEnd w:id="29"/>
      <w:r>
        <w:rPr>
          <w:sz w:val="24"/>
          <w:szCs w:val="24"/>
          <w:rtl w:val="0"/>
          <w:lang w:val="ru-RU"/>
        </w:rPr>
        <w:t xml:space="preserve"> </w:t>
      </w:r>
      <w:bookmarkStart w:name="Лот_11" w:id="30"/>
      <w:bookmarkEnd w:id="30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2" w:id="31"/>
      <w:bookmarkEnd w:id="31"/>
      <w:r>
        <w:rPr>
          <w:sz w:val="24"/>
          <w:szCs w:val="24"/>
          <w:rtl w:val="0"/>
          <w:lang w:val="ru-RU"/>
        </w:rPr>
        <w:t xml:space="preserve"> </w:t>
      </w:r>
      <w:bookmarkStart w:name="Лот_12" w:id="32"/>
      <w:bookmarkEnd w:id="32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3" w:id="33"/>
      <w:bookmarkEnd w:id="33"/>
      <w:r>
        <w:rPr>
          <w:sz w:val="24"/>
          <w:szCs w:val="24"/>
          <w:rtl w:val="0"/>
          <w:lang w:val="ru-RU"/>
        </w:rPr>
        <w:t xml:space="preserve"> </w:t>
      </w:r>
      <w:bookmarkStart w:name="Лот_13" w:id="34"/>
      <w:bookmarkEnd w:id="34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4" w:id="35"/>
      <w:bookmarkEnd w:id="35"/>
      <w:r>
        <w:rPr>
          <w:sz w:val="24"/>
          <w:szCs w:val="24"/>
          <w:rtl w:val="0"/>
          <w:lang w:val="ru-RU"/>
        </w:rPr>
        <w:t xml:space="preserve"> </w:t>
      </w:r>
      <w:bookmarkStart w:name="Лот_14" w:id="36"/>
      <w:bookmarkEnd w:id="36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5" w:id="37"/>
      <w:bookmarkEnd w:id="37"/>
      <w:r>
        <w:rPr>
          <w:sz w:val="24"/>
          <w:szCs w:val="24"/>
          <w:rtl w:val="0"/>
          <w:lang w:val="ru-RU"/>
        </w:rPr>
        <w:t xml:space="preserve"> </w:t>
      </w:r>
      <w:bookmarkStart w:name="Лот_15" w:id="38"/>
      <w:bookmarkEnd w:id="38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6" w:id="39"/>
      <w:bookmarkEnd w:id="39"/>
      <w:r>
        <w:rPr>
          <w:sz w:val="24"/>
          <w:szCs w:val="24"/>
          <w:rtl w:val="0"/>
          <w:lang w:val="ru-RU"/>
        </w:rPr>
        <w:t xml:space="preserve"> </w:t>
      </w:r>
      <w:bookmarkStart w:name="Лот_16" w:id="40"/>
      <w:bookmarkEnd w:id="40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7" w:id="41"/>
      <w:bookmarkEnd w:id="41"/>
      <w:r>
        <w:rPr>
          <w:sz w:val="24"/>
          <w:szCs w:val="24"/>
          <w:rtl w:val="0"/>
          <w:lang w:val="ru-RU"/>
        </w:rPr>
        <w:t xml:space="preserve"> </w:t>
      </w:r>
      <w:bookmarkStart w:name="Лот_17" w:id="42"/>
      <w:bookmarkEnd w:id="42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8" w:id="43"/>
      <w:bookmarkEnd w:id="43"/>
      <w:r>
        <w:rPr>
          <w:sz w:val="24"/>
          <w:szCs w:val="24"/>
          <w:rtl w:val="0"/>
          <w:lang w:val="ru-RU"/>
        </w:rPr>
        <w:t xml:space="preserve"> </w:t>
      </w:r>
      <w:bookmarkStart w:name="Лот_18" w:id="44"/>
      <w:bookmarkEnd w:id="44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9" w:id="45"/>
      <w:bookmarkEnd w:id="45"/>
      <w:r>
        <w:rPr>
          <w:sz w:val="24"/>
          <w:szCs w:val="24"/>
          <w:rtl w:val="0"/>
          <w:lang w:val="ru-RU"/>
        </w:rPr>
        <w:t xml:space="preserve"> </w:t>
      </w:r>
      <w:bookmarkStart w:name="Лот_19" w:id="46"/>
      <w:bookmarkEnd w:id="46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0" w:id="47"/>
      <w:bookmarkEnd w:id="47"/>
      <w:r>
        <w:rPr>
          <w:sz w:val="24"/>
          <w:szCs w:val="24"/>
          <w:rtl w:val="0"/>
          <w:lang w:val="ru-RU"/>
        </w:rPr>
        <w:t xml:space="preserve"> </w:t>
      </w:r>
      <w:bookmarkStart w:name="Лот_20" w:id="48"/>
      <w:bookmarkEnd w:id="48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1" w:id="49"/>
      <w:bookmarkEnd w:id="49"/>
      <w:r>
        <w:rPr>
          <w:sz w:val="24"/>
          <w:szCs w:val="24"/>
          <w:rtl w:val="0"/>
          <w:lang w:val="ru-RU"/>
        </w:rPr>
        <w:t xml:space="preserve"> </w:t>
      </w:r>
      <w:bookmarkStart w:name="Лот_21" w:id="50"/>
      <w:bookmarkEnd w:id="50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2" w:id="51"/>
      <w:bookmarkEnd w:id="51"/>
      <w:r>
        <w:rPr>
          <w:sz w:val="24"/>
          <w:szCs w:val="24"/>
          <w:rtl w:val="0"/>
          <w:lang w:val="ru-RU"/>
        </w:rPr>
        <w:t xml:space="preserve"> </w:t>
      </w:r>
      <w:bookmarkStart w:name="Лот_22" w:id="52"/>
      <w:bookmarkEnd w:id="52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3" w:id="53"/>
      <w:bookmarkEnd w:id="53"/>
      <w:r>
        <w:rPr>
          <w:sz w:val="24"/>
          <w:szCs w:val="24"/>
          <w:rtl w:val="0"/>
          <w:lang w:val="ru-RU"/>
        </w:rPr>
        <w:t xml:space="preserve"> </w:t>
      </w:r>
      <w:bookmarkStart w:name="Лот_23" w:id="54"/>
      <w:bookmarkEnd w:id="54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4" w:id="55"/>
      <w:bookmarkEnd w:id="55"/>
      <w:r>
        <w:rPr>
          <w:sz w:val="24"/>
          <w:szCs w:val="24"/>
          <w:rtl w:val="0"/>
          <w:lang w:val="ru-RU"/>
        </w:rPr>
        <w:t xml:space="preserve"> </w:t>
      </w:r>
      <w:bookmarkStart w:name="Лот_24" w:id="56"/>
      <w:bookmarkEnd w:id="56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5" w:id="57"/>
      <w:bookmarkEnd w:id="57"/>
      <w:r>
        <w:rPr>
          <w:sz w:val="24"/>
          <w:szCs w:val="24"/>
          <w:rtl w:val="0"/>
          <w:lang w:val="ru-RU"/>
        </w:rPr>
        <w:t xml:space="preserve"> </w:t>
      </w:r>
      <w:bookmarkStart w:name="Лот_25" w:id="58"/>
      <w:bookmarkEnd w:id="58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6" w:id="59"/>
      <w:bookmarkEnd w:id="59"/>
      <w:r>
        <w:rPr>
          <w:sz w:val="24"/>
          <w:szCs w:val="24"/>
          <w:rtl w:val="0"/>
          <w:lang w:val="ru-RU"/>
        </w:rPr>
        <w:t xml:space="preserve"> </w:t>
      </w:r>
      <w:bookmarkStart w:name="Лот_26" w:id="60"/>
      <w:bookmarkEnd w:id="60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7" w:id="61"/>
      <w:bookmarkEnd w:id="61"/>
      <w:r>
        <w:rPr>
          <w:sz w:val="24"/>
          <w:szCs w:val="24"/>
          <w:rtl w:val="0"/>
          <w:lang w:val="ru-RU"/>
        </w:rPr>
        <w:t xml:space="preserve"> </w:t>
      </w:r>
      <w:bookmarkStart w:name="Лот_27" w:id="62"/>
      <w:bookmarkEnd w:id="62"/>
      <w:r>
        <w:rPr>
          <w:sz w:val="24"/>
          <w:szCs w:val="24"/>
          <w:rtl w:val="0"/>
          <w:lang w:val="ru-RU"/>
        </w:rPr>
        <w:t xml:space="preserve"> </w:t>
      </w:r>
      <w:bookmarkStart w:name="Лот_28" w:id="63"/>
      <w:bookmarkEnd w:id="63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9" w:id="64"/>
      <w:bookmarkEnd w:id="64"/>
      <w:r>
        <w:rPr>
          <w:sz w:val="24"/>
          <w:szCs w:val="24"/>
          <w:rtl w:val="0"/>
          <w:lang w:val="ru-RU"/>
        </w:rPr>
        <w:t xml:space="preserve"> </w:t>
      </w:r>
      <w:bookmarkStart w:name="Лот_29" w:id="65"/>
      <w:bookmarkEnd w:id="65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30" w:id="66"/>
      <w:bookmarkEnd w:id="66"/>
      <w:r>
        <w:rPr>
          <w:sz w:val="24"/>
          <w:szCs w:val="24"/>
          <w:rtl w:val="0"/>
          <w:lang w:val="ru-RU"/>
        </w:rPr>
        <w:t xml:space="preserve"> </w:t>
      </w:r>
      <w:bookmarkStart w:name="Лот_30" w:id="67"/>
      <w:bookmarkEnd w:id="67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1" w:id="68"/>
      <w:bookmarkEnd w:id="68"/>
      <w:r>
        <w:rPr>
          <w:sz w:val="24"/>
          <w:szCs w:val="24"/>
          <w:rtl w:val="0"/>
          <w:lang w:val="en-US"/>
        </w:rPr>
        <w:t xml:space="preserve"> </w:t>
      </w:r>
      <w:bookmarkStart w:name="Лот_31" w:id="69"/>
      <w:bookmarkEnd w:id="69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2" w:id="70"/>
      <w:bookmarkEnd w:id="70"/>
      <w:r>
        <w:rPr>
          <w:sz w:val="24"/>
          <w:szCs w:val="24"/>
          <w:rtl w:val="0"/>
          <w:lang w:val="en-US"/>
        </w:rPr>
        <w:t xml:space="preserve"> </w:t>
      </w:r>
      <w:bookmarkStart w:name="Лот_32" w:id="71"/>
      <w:bookmarkEnd w:id="71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3" w:id="72"/>
      <w:bookmarkEnd w:id="72"/>
      <w:r>
        <w:rPr>
          <w:sz w:val="24"/>
          <w:szCs w:val="24"/>
          <w:rtl w:val="0"/>
          <w:lang w:val="en-US"/>
        </w:rPr>
        <w:t xml:space="preserve"> </w:t>
      </w:r>
      <w:bookmarkStart w:name="Лот_33" w:id="73"/>
      <w:bookmarkEnd w:id="73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4" w:id="74"/>
      <w:bookmarkEnd w:id="74"/>
      <w:r>
        <w:rPr>
          <w:sz w:val="24"/>
          <w:szCs w:val="24"/>
          <w:rtl w:val="0"/>
          <w:lang w:val="en-US"/>
        </w:rPr>
        <w:t xml:space="preserve"> </w:t>
      </w:r>
      <w:bookmarkStart w:name="Лот_34" w:id="75"/>
      <w:bookmarkEnd w:id="75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5" w:id="76"/>
      <w:bookmarkEnd w:id="76"/>
      <w:r>
        <w:rPr>
          <w:sz w:val="24"/>
          <w:szCs w:val="24"/>
          <w:rtl w:val="0"/>
          <w:lang w:val="en-US"/>
        </w:rPr>
        <w:t xml:space="preserve"> </w:t>
      </w:r>
      <w:bookmarkStart w:name="Лот_35" w:id="77"/>
      <w:bookmarkEnd w:id="77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6" w:id="78"/>
      <w:bookmarkEnd w:id="78"/>
      <w:r>
        <w:rPr>
          <w:sz w:val="24"/>
          <w:szCs w:val="24"/>
          <w:rtl w:val="0"/>
          <w:lang w:val="en-US"/>
        </w:rPr>
        <w:t xml:space="preserve"> </w:t>
      </w:r>
      <w:bookmarkStart w:name="Лот_36" w:id="79"/>
      <w:bookmarkEnd w:id="79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7" w:id="80"/>
      <w:bookmarkEnd w:id="80"/>
      <w:r>
        <w:rPr>
          <w:sz w:val="24"/>
          <w:szCs w:val="24"/>
          <w:rtl w:val="0"/>
          <w:lang w:val="en-US"/>
        </w:rPr>
        <w:t xml:space="preserve"> </w:t>
      </w:r>
      <w:bookmarkStart w:name="Лот_37" w:id="81"/>
      <w:bookmarkEnd w:id="81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8" w:id="82"/>
      <w:bookmarkEnd w:id="82"/>
      <w:r>
        <w:rPr>
          <w:sz w:val="24"/>
          <w:szCs w:val="24"/>
          <w:rtl w:val="0"/>
          <w:lang w:val="en-US"/>
        </w:rPr>
        <w:t xml:space="preserve"> </w:t>
      </w:r>
      <w:bookmarkStart w:name="Лот_38" w:id="83"/>
      <w:bookmarkEnd w:id="83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9" w:id="84"/>
      <w:bookmarkEnd w:id="84"/>
      <w:r>
        <w:rPr>
          <w:sz w:val="24"/>
          <w:szCs w:val="24"/>
          <w:rtl w:val="0"/>
          <w:lang w:val="en-US"/>
        </w:rPr>
        <w:t xml:space="preserve"> </w:t>
      </w:r>
      <w:bookmarkStart w:name="Лот_39" w:id="85"/>
      <w:bookmarkEnd w:id="85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0" w:id="86"/>
      <w:bookmarkEnd w:id="86"/>
      <w:r>
        <w:rPr>
          <w:sz w:val="24"/>
          <w:szCs w:val="24"/>
          <w:rtl w:val="0"/>
          <w:lang w:val="en-US"/>
        </w:rPr>
        <w:t xml:space="preserve"> </w:t>
      </w:r>
      <w:bookmarkStart w:name="Лот_40" w:id="87"/>
      <w:bookmarkEnd w:id="87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1" w:id="88"/>
      <w:bookmarkEnd w:id="88"/>
      <w:r>
        <w:rPr>
          <w:sz w:val="24"/>
          <w:szCs w:val="24"/>
          <w:rtl w:val="0"/>
          <w:lang w:val="en-US"/>
        </w:rPr>
        <w:t xml:space="preserve"> </w:t>
      </w:r>
      <w:bookmarkStart w:name="Лот_41" w:id="89"/>
      <w:bookmarkEnd w:id="89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2" w:id="90"/>
      <w:bookmarkEnd w:id="90"/>
      <w:r>
        <w:rPr>
          <w:sz w:val="24"/>
          <w:szCs w:val="24"/>
          <w:rtl w:val="0"/>
          <w:lang w:val="en-US"/>
        </w:rPr>
        <w:t xml:space="preserve"> </w:t>
      </w:r>
      <w:bookmarkStart w:name="Лот_42" w:id="91"/>
      <w:bookmarkEnd w:id="91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3" w:id="92"/>
      <w:bookmarkEnd w:id="92"/>
      <w:r>
        <w:rPr>
          <w:sz w:val="24"/>
          <w:szCs w:val="24"/>
          <w:rtl w:val="0"/>
          <w:lang w:val="en-US"/>
        </w:rPr>
        <w:t xml:space="preserve"> </w:t>
      </w:r>
      <w:bookmarkStart w:name="Лот_43" w:id="93"/>
      <w:bookmarkEnd w:id="93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4" w:id="94"/>
      <w:bookmarkEnd w:id="94"/>
      <w:r>
        <w:rPr>
          <w:sz w:val="24"/>
          <w:szCs w:val="24"/>
          <w:rtl w:val="0"/>
          <w:lang w:val="en-US"/>
        </w:rPr>
        <w:t xml:space="preserve"> </w:t>
      </w:r>
      <w:bookmarkStart w:name="Лот_44" w:id="95"/>
      <w:bookmarkEnd w:id="95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5" w:id="96"/>
      <w:bookmarkEnd w:id="96"/>
      <w:r>
        <w:rPr>
          <w:sz w:val="24"/>
          <w:szCs w:val="24"/>
          <w:rtl w:val="0"/>
          <w:lang w:val="en-US"/>
        </w:rPr>
        <w:t xml:space="preserve"> </w:t>
      </w:r>
      <w:bookmarkStart w:name="Лот_45" w:id="97"/>
      <w:bookmarkEnd w:id="97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6" w:id="98"/>
      <w:bookmarkEnd w:id="98"/>
      <w:r>
        <w:rPr>
          <w:sz w:val="24"/>
          <w:szCs w:val="24"/>
          <w:rtl w:val="0"/>
          <w:lang w:val="en-US"/>
        </w:rPr>
        <w:t xml:space="preserve"> </w:t>
      </w:r>
      <w:bookmarkStart w:name="Лот_46" w:id="99"/>
      <w:bookmarkEnd w:id="99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7" w:id="100"/>
      <w:bookmarkEnd w:id="100"/>
      <w:r>
        <w:rPr>
          <w:sz w:val="24"/>
          <w:szCs w:val="24"/>
          <w:rtl w:val="0"/>
          <w:lang w:val="en-US"/>
        </w:rPr>
        <w:t xml:space="preserve"> </w:t>
      </w:r>
      <w:bookmarkStart w:name="Лот_47" w:id="101"/>
      <w:bookmarkEnd w:id="101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8" w:id="102"/>
      <w:bookmarkEnd w:id="102"/>
      <w:r>
        <w:rPr>
          <w:sz w:val="24"/>
          <w:szCs w:val="24"/>
          <w:rtl w:val="0"/>
          <w:lang w:val="en-US"/>
        </w:rPr>
        <w:t xml:space="preserve"> </w:t>
      </w:r>
      <w:bookmarkStart w:name="Лот_48" w:id="103"/>
      <w:bookmarkEnd w:id="103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9" w:id="104"/>
      <w:bookmarkEnd w:id="104"/>
      <w:r>
        <w:rPr>
          <w:sz w:val="24"/>
          <w:szCs w:val="24"/>
          <w:rtl w:val="0"/>
          <w:lang w:val="en-US"/>
        </w:rPr>
        <w:t xml:space="preserve"> </w:t>
      </w:r>
      <w:bookmarkStart w:name="Лот_49" w:id="105"/>
      <w:bookmarkEnd w:id="105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50" w:id="106"/>
      <w:bookmarkEnd w:id="106"/>
      <w:r>
        <w:rPr>
          <w:sz w:val="24"/>
          <w:szCs w:val="24"/>
          <w:rtl w:val="0"/>
          <w:lang w:val="en-US"/>
        </w:rPr>
        <w:t xml:space="preserve"> </w:t>
      </w:r>
      <w:bookmarkStart w:name="Лот_50" w:id="107"/>
      <w:bookmarkEnd w:id="107"/>
      <w:r>
        <w:rPr>
          <w:sz w:val="24"/>
          <w:szCs w:val="24"/>
          <w:rtl w:val="0"/>
          <w:lang w:val="en-US"/>
        </w:rPr>
        <w:t xml:space="preserve"> </w:t>
      </w:r>
      <w:bookmarkStart w:name="Лот_51" w:id="108"/>
      <w:bookmarkEnd w:id="108"/>
    </w:p>
    <w:p>
      <w:pPr>
        <w:pStyle w:val="Normal.0"/>
        <w:spacing w:line="240" w:lineRule="auto"/>
        <w:ind w:firstLine="708"/>
      </w:pPr>
      <w:r>
        <w:rPr>
          <w:sz w:val="24"/>
          <w:szCs w:val="24"/>
        </w:rPr>
      </w:r>
      <w:bookmarkStart w:name="ПодтверждениеПодпись" w:id="109"/>
      <w:bookmarkEnd w:id="109"/>
    </w:p>
    <w:sectPr>
      <w:headerReference w:type="default" r:id="rId4"/>
      <w:footerReference w:type="default" r:id="rId5"/>
      <w:pgSz w:w="11900" w:h="16840" w:orient="portrait"/>
      <w:pgMar w:top="720" w:right="720" w:bottom="720" w:left="720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Импортированный стиль 1"/>
  </w:abstractNum>
  <w:abstractNum w:abstractNumId="1">
    <w:multiLevelType w:val="hybridMultilevel"/>
    <w:styleLink w:val="Импортированный стиль 1"/>
    <w:lvl w:ilvl="0">
      <w:start w:val="1"/>
      <w:numFmt w:val="decimal"/>
      <w:suff w:val="tab"/>
      <w:lvlText w:val="%1."/>
      <w:lvlJc w:val="left"/>
      <w:pPr>
        <w:ind w:left="106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ind w:left="178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ind w:left="2508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322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ind w:left="394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ind w:left="4668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538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ind w:left="610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ind w:left="6828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0"/>
    <w:lvlOverride w:ilvl="0">
      <w:lvl w:ilvl="0">
        <w:start w:val="1"/>
        <w:numFmt w:val="decimal"/>
        <w:suff w:val="tab"/>
        <w:lvlText w:val="%1."/>
        <w:lvlJc w:val="left"/>
        <w:pPr>
          <w:ind w:left="1038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lowerLetter"/>
        <w:suff w:val="tab"/>
        <w:lvlText w:val="%2."/>
        <w:lvlJc w:val="left"/>
        <w:pPr>
          <w:ind w:left="1758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Roman"/>
        <w:suff w:val="tab"/>
        <w:lvlText w:val="%3."/>
        <w:lvlJc w:val="left"/>
        <w:pPr>
          <w:ind w:left="2483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ind w:left="3198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lowerLetter"/>
        <w:suff w:val="tab"/>
        <w:lvlText w:val="%5."/>
        <w:lvlJc w:val="left"/>
        <w:pPr>
          <w:ind w:left="3918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suff w:val="tab"/>
        <w:lvlText w:val="%6."/>
        <w:lvlJc w:val="left"/>
        <w:pPr>
          <w:ind w:left="4643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ind w:left="5358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Letter"/>
        <w:suff w:val="tab"/>
        <w:lvlText w:val="%8."/>
        <w:lvlJc w:val="left"/>
        <w:pPr>
          <w:ind w:left="6078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suff w:val="tab"/>
        <w:lvlText w:val="%9."/>
        <w:lvlJc w:val="left"/>
        <w:pPr>
          <w:ind w:left="6803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">
    <w:abstractNumId w:val="0"/>
    <w:lvlOverride w:ilvl="0">
      <w:startOverride w:val="2"/>
    </w:lvlOverride>
  </w:num>
  <w:num w:numId="5">
    <w:abstractNumId w:val="0"/>
    <w:lvlOverride w:ilvl="0">
      <w:startOverride w:val="3"/>
    </w:lvlOverride>
  </w:num>
  <w:num w:numId="6">
    <w:abstractNumId w:val="0"/>
    <w:lvlOverride w:ilvl="0">
      <w:startOverride w:val="4"/>
    </w:lvlOverride>
  </w:num>
  <w:num w:numId="7">
    <w:abstractNumId w:val="0"/>
    <w:lvlOverride w:ilvl="0">
      <w:startOverride w:val="5"/>
    </w:lvlOverride>
  </w:num>
  <w:num w:numId="8">
    <w:abstractNumId w:val="0"/>
    <w:lvlOverride w:ilvl="0">
      <w:startOverride w:val="6"/>
    </w:lvlOverride>
  </w:num>
  <w:num w:numId="9">
    <w:abstractNumId w:val="0"/>
    <w:lvlOverride w:ilvl="0">
      <w:startOverride w:val="7"/>
    </w:lvlOverride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0" w:right="0" w:firstLine="0"/>
      <w:jc w:val="left"/>
      <w:outlineLvl w:val="9"/>
    </w:pPr>
    <w:rPr>
      <w:rFonts w:ascii="Calibri" w:cs="Arial Unicode MS" w:hAnsi="Calibri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720" w:right="0" w:firstLine="0"/>
      <w:jc w:val="left"/>
      <w:outlineLvl w:val="9"/>
    </w:pPr>
    <w:rPr>
      <w:rFonts w:ascii="Calibri" w:cs="Arial Unicode MS" w:hAnsi="Calibri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numbering" w:styleId="Импортированный стиль 1">
    <w:name w:val="Импортированный стиль 1"/>
    <w:pPr>
      <w:numPr>
        <w:numId w:val="1"/>
      </w:numPr>
    </w:pPr>
  </w:style>
  <w:style w:type="character" w:styleId="Ссылка">
    <w:name w:val="Ссылка"/>
    <w:rPr>
      <w:outline w:val="0"/>
      <w:color w:val="0000ff"/>
      <w:u w:val="single" w:color="0000ff"/>
      <w14:textFill>
        <w14:solidFill>
          <w14:srgbClr w14:val="0000FF"/>
        </w14:solidFill>
      </w14:textFill>
    </w:rPr>
  </w:style>
  <w:style w:type="character" w:styleId="Hyperlink.0">
    <w:name w:val="Hyperlink.0"/>
    <w:basedOn w:val="Ссылка"/>
    <w:next w:val="Hyperlink.0"/>
    <w:rPr>
      <w:rFonts w:ascii="Calibri" w:cs="Calibri" w:hAnsi="Calibri" w:eastAsia="Calibri"/>
      <w:outline w:val="0"/>
      <w:color w:val="000000"/>
      <w:u w:color="000000"/>
      <w:shd w:val="nil" w:color="auto" w:fill="auto"/>
      <w:lang w:val="en-US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