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02BF">
        <w:rPr>
          <w:b/>
          <w:sz w:val="24"/>
          <w:szCs w:val="24"/>
        </w:rPr>
        <w:t>353</w:t>
      </w:r>
      <w:r w:rsidR="00424B57">
        <w:rPr>
          <w:b/>
          <w:sz w:val="24"/>
          <w:szCs w:val="24"/>
        </w:rPr>
        <w:t>.</w:t>
      </w:r>
    </w:p>
    <w:p w:rsidR="00320475" w:rsidRPr="00320475" w:rsidRDefault="008602B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602BF">
        <w:rPr>
          <w:sz w:val="24"/>
          <w:szCs w:val="24"/>
        </w:rPr>
        <w:t>Алькема Ольга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602B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602BF">
        <w:rPr>
          <w:sz w:val="24"/>
          <w:szCs w:val="24"/>
        </w:rPr>
        <w:t>ПП000353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602B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602BF">
        <w:rPr>
          <w:sz w:val="24"/>
          <w:szCs w:val="24"/>
        </w:rPr>
        <w:t>Гримашевич Николай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602B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602BF">
        <w:rPr>
          <w:sz w:val="24"/>
          <w:szCs w:val="24"/>
        </w:rPr>
        <w:t>ПП000353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02B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602B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602BF">
              <w:rPr>
                <w:sz w:val="24"/>
                <w:szCs w:val="24"/>
              </w:rPr>
              <w:t>Гримашевич Николай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02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602B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602B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2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2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02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02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02B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18:00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"Эксперт"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А12-527/2022 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21.03.2022 г. по делу №А12-527/2022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340300186110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этого протокола, конкурсный управляющий направляет победителю торгов заказным письмом, курьером либо электронной почтой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за лот. Победитель торгов может получить предложение о заключении договора купли-продажи и проект договора купли-продажи имущества непосредственно у конкурсного управляющего, а конкурсный управляющий обязан предоставить победителю торгов такую возможность не позднее пяти рабочих дней с даты подписания протокола о результатах проведения торгов.В случае отказа или уклонения победителя торгов от подписания договора купли-продажи в течении пяти дней с даты получения предложения конкурсного управляющего о заключении такого договора внесенный задаток ему не возвращается, и конкурсный управляющий предлагает заключить договор купли-продажи имущества участнику торгов, предложившему наиболее высокую цену за лот по сравнению с ценой, предложенной другими участниками торгов, за исключением победителя торгов.Продажа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О.В.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89178316462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oalkema@mail.ru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02BF" w:rsidRDefault="008602B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содержать: 1)</w:t>
            </w:r>
            <w:r>
              <w:rPr>
                <w:rFonts w:cstheme="minorHAnsi"/>
                <w:sz w:val="24"/>
                <w:szCs w:val="24"/>
              </w:rPr>
              <w:tab/>
              <w:t>Обязательство участника открытых торгов соблюдать требования, указанные в сообщении о проведении открытых торгов; 2)</w:t>
            </w:r>
            <w:r>
              <w:rPr>
                <w:rFonts w:cstheme="minorHAnsi"/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копию паспорта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365685,30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 дня, в который определяется состав участников торгов, задаток от претендентов (заявителей) должен поступить на счет, указанный в сообщении о проведении торгов. В случае перечисления задатка третьими лицами в назначении платежа должно быть указано за кого данный задаток перечислен.Задаток возвращается по банковским реквизитам Заявителя, указанным в п. 4 настоящего договора. В случае отсутствия банковских реквизитов Заявителя, указанных в п.4 настоящего договора, задаток возвращается Организатором торгов по реквизитам расчетного счета поступления задатка.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подлежит внесению по следующим реквизитам: Наименование получателя: Гримашевич Николай Николаевич  ИНН 340300186110 Расчётный счёт 40817810311005370873 БИК 041806647 Банк ВОЛГОГРАДСКОЕ ОТДЕЛЕНИЕ №8621 ПАО СБЕРБАНК Корр. счёт 30101.810.1.00000000647</w:t>
            </w: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02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02BF" w:rsidRDefault="008602BF" w:rsidP="008602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602BF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52D69-17C3-4E84-A6ED-19A60B0A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65D4D-5257-4B3E-A03E-C64D1BA01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2023-01-30T13:09:00Z</dcterms:created>
  <dcterms:modified xsi:type="dcterms:W3CDTF">2023-01-30T13:09:00Z</dcterms:modified>
</cp:coreProperties>
</file>