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627D">
        <w:rPr>
          <w:b/>
          <w:sz w:val="24"/>
          <w:szCs w:val="24"/>
        </w:rPr>
        <w:t>323</w:t>
      </w:r>
      <w:r w:rsidR="00424B57">
        <w:rPr>
          <w:b/>
          <w:sz w:val="24"/>
          <w:szCs w:val="24"/>
        </w:rPr>
        <w:t>.</w:t>
      </w:r>
    </w:p>
    <w:p w:rsidR="00320475" w:rsidRPr="00320475" w:rsidRDefault="0006627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22.11.2022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6627D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6627D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6627D">
        <w:rPr>
          <w:sz w:val="24"/>
          <w:szCs w:val="24"/>
        </w:rPr>
        <w:t>ПП000323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6627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6627D">
        <w:rPr>
          <w:sz w:val="24"/>
          <w:szCs w:val="24"/>
        </w:rPr>
        <w:t>Общество с ограниченной ответственностью "Стройинвест"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6627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6627D">
        <w:rPr>
          <w:sz w:val="24"/>
          <w:szCs w:val="24"/>
        </w:rPr>
        <w:t>ПП000323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627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6627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6627D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62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6627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6627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627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03.10.2022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62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62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62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627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29.08.2022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627D" w:rsidRDefault="0006627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Административно-бытовой корпус, Производственный корпус, Лабораторный корпус, Нежилое здание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-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-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24.11.2065г.; - 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37359000,00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7471800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составляет 20% от начальной цены лота. Вносится на специальный расчетный счет должника в период приема заявок на участие в торгах.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перечисления задатков: 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662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6627D" w:rsidRDefault="0006627D" w:rsidP="000662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627D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86D869-A208-42AF-991D-813412FB8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1F7DA-7221-4B0A-AC73-DCA399134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2022-11-22T06:50:00Z</dcterms:created>
  <dcterms:modified xsi:type="dcterms:W3CDTF">2022-11-22T06:50:00Z</dcterms:modified>
</cp:coreProperties>
</file>