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179F">
        <w:rPr>
          <w:b/>
          <w:sz w:val="24"/>
          <w:szCs w:val="24"/>
        </w:rPr>
        <w:t>ПП000203</w:t>
      </w:r>
      <w:r w:rsidRPr="00BE0A9B">
        <w:rPr>
          <w:b/>
          <w:sz w:val="24"/>
          <w:szCs w:val="24"/>
        </w:rPr>
        <w:t>.</w:t>
      </w:r>
    </w:p>
    <w:p w:rsidR="009B22E7" w:rsidRPr="00BE0A9B" w:rsidRDefault="00E2179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2179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2179F">
        <w:rPr>
          <w:b/>
          <w:sz w:val="24"/>
          <w:szCs w:val="24"/>
        </w:rPr>
        <w:t>ПП000203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179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2179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2179F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179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Реализация дебиторской задолженности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2179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2179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79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79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14:20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179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179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179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179F" w:rsidRDefault="00E217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торги подаются в электронной форме посредством системы электронного документооборота на сайте — http://eurtp.ru/ (место проведения торгов). Заявки принимаются после оплаты задатка </w:t>
            </w:r>
            <w:r>
              <w:rPr>
                <w:sz w:val="24"/>
                <w:szCs w:val="24"/>
              </w:rPr>
              <w:lastRenderedPageBreak/>
              <w:t>и представления п/п с отметкой банка об исполнении. Заявка на участие в торгах и принятие решения о допуске заявителя к участию в торгах осуществляется в порядке, установленном ст. 110 ФЗ «О несостоятельности (банкротстве)». Заявители, допущенные к участию в торгах, признаются участниками торгов.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10044520,19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выкупной цены Лота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10 % от начальной цены, действующей на конкретном этапе предложения, вносится в сроки приёма заявок по следующим реквизитам: ОАО «ОМК»: р/с: 40702810000000066416 в ПАО «ПРОМСВЯЗЬБАНК» БИК 044525555, к/с:  30101810400000000555. 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E21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179F" w:rsidRDefault="00E2179F" w:rsidP="00E21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 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217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2179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lastRenderedPageBreak/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179F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FB93C-6E8C-4BC6-B338-63FCB7957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2021-03-25T14:34:00Z</dcterms:created>
  <dcterms:modified xsi:type="dcterms:W3CDTF">2021-03-25T14:34:00Z</dcterms:modified>
</cp:coreProperties>
</file>