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E01928">
        <w:rPr>
          <w:b/>
          <w:sz w:val="24"/>
          <w:szCs w:val="24"/>
        </w:rPr>
        <w:t>ПП000161</w:t>
      </w:r>
      <w:r w:rsidRPr="00BE0A9B">
        <w:rPr>
          <w:b/>
          <w:sz w:val="24"/>
          <w:szCs w:val="24"/>
        </w:rPr>
        <w:t>.</w:t>
      </w:r>
    </w:p>
    <w:p w:rsidR="009B22E7" w:rsidRPr="00BE0A9B" w:rsidRDefault="00E01928" w:rsidP="009B22E7">
      <w:pPr>
        <w:rPr>
          <w:b/>
          <w:sz w:val="24"/>
          <w:szCs w:val="24"/>
        </w:rPr>
      </w:pPr>
      <w:bookmarkStart w:id="2" w:name="Текущая_дата"/>
      <w:bookmarkEnd w:id="2"/>
      <w:r>
        <w:rPr>
          <w:b/>
          <w:sz w:val="24"/>
          <w:szCs w:val="24"/>
        </w:rPr>
        <w:t>17.06.2020</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E01928">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E01928">
        <w:rPr>
          <w:b/>
          <w:sz w:val="24"/>
          <w:szCs w:val="24"/>
        </w:rPr>
        <w:t>ПП000161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E01928"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E01928">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E01928">
              <w:rPr>
                <w:sz w:val="24"/>
                <w:szCs w:val="24"/>
              </w:rPr>
              <w:t>Федоров Сергей Владимирович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E01928" w:rsidP="000E46A0">
            <w:pPr>
              <w:rPr>
                <w:sz w:val="24"/>
                <w:szCs w:val="24"/>
                <w:lang w:val="en-US"/>
              </w:rPr>
            </w:pPr>
            <w:bookmarkStart w:id="8" w:name="ДопСведение"/>
            <w:bookmarkEnd w:id="8"/>
            <w:r>
              <w:rPr>
                <w:sz w:val="24"/>
                <w:szCs w:val="24"/>
                <w:lang w:val="en-US"/>
              </w:rPr>
              <w:t>Открытые торги в форме публичного предложения по реализации имущества должника Савельева Юрия Александровича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E01928">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E0192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E01928" w:rsidP="000E46A0">
            <w:pPr>
              <w:rPr>
                <w:rFonts w:cstheme="minorHAnsi"/>
                <w:sz w:val="24"/>
                <w:szCs w:val="24"/>
              </w:rPr>
            </w:pPr>
            <w:bookmarkStart w:id="11" w:name="ДатаНачПриемЗаявки_ддммгг"/>
            <w:bookmarkEnd w:id="11"/>
            <w:r>
              <w:rPr>
                <w:rFonts w:cstheme="minorHAnsi"/>
                <w:sz w:val="24"/>
                <w:szCs w:val="24"/>
              </w:rPr>
              <w:t>20.05.2020</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12:00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E01928" w:rsidP="000E46A0">
            <w:pPr>
              <w:rPr>
                <w:sz w:val="24"/>
                <w:szCs w:val="24"/>
              </w:rPr>
            </w:pPr>
            <w:bookmarkStart w:id="13" w:name="ДатаКонПриемЗаявки_ддммгг"/>
            <w:bookmarkEnd w:id="13"/>
            <w:r>
              <w:rPr>
                <w:sz w:val="24"/>
                <w:szCs w:val="24"/>
              </w:rPr>
              <w:t>01.07.2020</w:t>
            </w:r>
            <w:r w:rsidR="004C520C" w:rsidRPr="00BE0A9B">
              <w:rPr>
                <w:sz w:val="24"/>
                <w:szCs w:val="24"/>
              </w:rPr>
              <w:t xml:space="preserve"> года в </w:t>
            </w:r>
            <w:bookmarkStart w:id="14" w:name="ВремяКонПриемЗаявки_ччмм"/>
            <w:bookmarkEnd w:id="14"/>
            <w:r>
              <w:rPr>
                <w:sz w:val="24"/>
                <w:szCs w:val="24"/>
              </w:rPr>
              <w:t>12:00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E01928" w:rsidP="000E46A0">
            <w:pPr>
              <w:rPr>
                <w:sz w:val="24"/>
                <w:szCs w:val="24"/>
              </w:rPr>
            </w:pPr>
            <w:bookmarkStart w:id="15" w:name="ДатаПубСМИ_ддммгг"/>
            <w:bookmarkEnd w:id="15"/>
            <w:r>
              <w:rPr>
                <w:sz w:val="24"/>
                <w:szCs w:val="24"/>
              </w:rPr>
              <w:t>18.05.2020</w:t>
            </w:r>
            <w:r w:rsidR="004C520C" w:rsidRPr="00BE0A9B">
              <w:rPr>
                <w:sz w:val="24"/>
                <w:szCs w:val="24"/>
              </w:rPr>
              <w:t xml:space="preserve"> года в </w:t>
            </w:r>
            <w:bookmarkStart w:id="16" w:name="ВремяПубСМИ_ччмм"/>
            <w:bookmarkEnd w:id="16"/>
            <w:r>
              <w:rPr>
                <w:sz w:val="24"/>
                <w:szCs w:val="24"/>
              </w:rPr>
              <w:t>16:23</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E01928" w:rsidP="000E46A0">
            <w:pPr>
              <w:rPr>
                <w:sz w:val="24"/>
                <w:szCs w:val="24"/>
              </w:rPr>
            </w:pPr>
            <w:bookmarkStart w:id="17" w:name="ДатаПубОрган_ддммгг"/>
            <w:bookmarkEnd w:id="17"/>
            <w:r>
              <w:rPr>
                <w:sz w:val="24"/>
                <w:szCs w:val="24"/>
              </w:rPr>
              <w:t>18.05.2020</w:t>
            </w:r>
            <w:r w:rsidR="004C520C" w:rsidRPr="00BE0A9B">
              <w:rPr>
                <w:sz w:val="24"/>
                <w:szCs w:val="24"/>
              </w:rPr>
              <w:t xml:space="preserve"> года в </w:t>
            </w:r>
            <w:bookmarkStart w:id="18" w:name="ВремяПубОрган_ччмм"/>
            <w:bookmarkEnd w:id="18"/>
            <w:r>
              <w:rPr>
                <w:sz w:val="24"/>
                <w:szCs w:val="24"/>
              </w:rPr>
              <w:t>16:23</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E01928" w:rsidP="000E46A0">
            <w:pPr>
              <w:rPr>
                <w:sz w:val="24"/>
                <w:szCs w:val="24"/>
              </w:rPr>
            </w:pPr>
            <w:bookmarkStart w:id="19" w:name="ДатаПубРеестр_ддммгг"/>
            <w:bookmarkEnd w:id="19"/>
            <w:r>
              <w:rPr>
                <w:sz w:val="24"/>
                <w:szCs w:val="24"/>
              </w:rPr>
              <w:t>18.05.2020</w:t>
            </w:r>
            <w:r w:rsidR="004C520C" w:rsidRPr="00BE0A9B">
              <w:rPr>
                <w:sz w:val="24"/>
                <w:szCs w:val="24"/>
              </w:rPr>
              <w:t xml:space="preserve"> года в </w:t>
            </w:r>
            <w:bookmarkStart w:id="20" w:name="ВремяПубРеестр_ччмм"/>
            <w:bookmarkEnd w:id="20"/>
            <w:r>
              <w:rPr>
                <w:sz w:val="24"/>
                <w:szCs w:val="24"/>
              </w:rPr>
              <w:t>16:23</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bookmarkStart w:id="21" w:name="ОрганизаторТорги"/>
            <w:bookmarkEnd w:id="21"/>
            <w:r>
              <w:rPr>
                <w:sz w:val="24"/>
                <w:szCs w:val="24"/>
              </w:rPr>
              <w:lastRenderedPageBreak/>
              <w:t>ФИО</w:t>
            </w:r>
          </w:p>
        </w:tc>
        <w:tc>
          <w:tcPr>
            <w:tcW w:w="4786" w:type="dxa"/>
          </w:tcPr>
          <w:p w:rsidR="00E01928" w:rsidRDefault="00E01928" w:rsidP="00E01928">
            <w:pPr>
              <w:spacing w:after="120" w:line="240" w:lineRule="auto"/>
              <w:contextualSpacing/>
              <w:rPr>
                <w:sz w:val="24"/>
                <w:szCs w:val="24"/>
              </w:rPr>
            </w:pPr>
            <w:r>
              <w:rPr>
                <w:sz w:val="24"/>
                <w:szCs w:val="24"/>
              </w:rPr>
              <w:t>Федоров Сергей Владимирович</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ИНН</w:t>
            </w:r>
          </w:p>
        </w:tc>
        <w:tc>
          <w:tcPr>
            <w:tcW w:w="4786" w:type="dxa"/>
          </w:tcPr>
          <w:p w:rsidR="00E01928" w:rsidRDefault="00E01928" w:rsidP="00E01928">
            <w:pPr>
              <w:spacing w:after="120" w:line="240" w:lineRule="auto"/>
              <w:contextualSpacing/>
              <w:rPr>
                <w:sz w:val="24"/>
                <w:szCs w:val="24"/>
              </w:rPr>
            </w:pPr>
            <w:r>
              <w:rPr>
                <w:sz w:val="24"/>
                <w:szCs w:val="24"/>
              </w:rPr>
              <w:t>644918589967</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E01928" w:rsidRDefault="00E01928" w:rsidP="00E01928">
            <w:pPr>
              <w:spacing w:after="120" w:line="240" w:lineRule="auto"/>
              <w:contextualSpacing/>
              <w:rPr>
                <w:sz w:val="24"/>
                <w:szCs w:val="24"/>
                <w:lang w:val="en-US"/>
              </w:rPr>
            </w:pPr>
            <w:r>
              <w:rPr>
                <w:sz w:val="24"/>
                <w:szCs w:val="24"/>
                <w:lang w:val="en-US"/>
              </w:rPr>
              <w:t>Федоров Сергей Владимирович</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lang w:val="en-US"/>
              </w:rPr>
            </w:pPr>
            <w:r>
              <w:rPr>
                <w:sz w:val="24"/>
                <w:szCs w:val="24"/>
                <w:lang w:val="en-US"/>
              </w:rPr>
              <w:t>ИНН</w:t>
            </w:r>
          </w:p>
        </w:tc>
        <w:tc>
          <w:tcPr>
            <w:tcW w:w="4786" w:type="dxa"/>
          </w:tcPr>
          <w:p w:rsidR="00E01928" w:rsidRDefault="00E01928" w:rsidP="00E01928">
            <w:pPr>
              <w:spacing w:after="120" w:line="240" w:lineRule="auto"/>
              <w:contextualSpacing/>
              <w:rPr>
                <w:sz w:val="24"/>
                <w:szCs w:val="24"/>
                <w:lang w:val="en-US"/>
              </w:rPr>
            </w:pPr>
            <w:r>
              <w:rPr>
                <w:sz w:val="24"/>
                <w:szCs w:val="24"/>
                <w:lang w:val="en-US"/>
              </w:rPr>
              <w:t>644918589967</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lang w:val="en-US"/>
              </w:rPr>
            </w:pPr>
            <w:r>
              <w:rPr>
                <w:sz w:val="24"/>
                <w:szCs w:val="24"/>
                <w:lang w:val="en-US"/>
              </w:rPr>
              <w:t>Наименование СРО</w:t>
            </w:r>
          </w:p>
        </w:tc>
        <w:tc>
          <w:tcPr>
            <w:tcW w:w="4786" w:type="dxa"/>
          </w:tcPr>
          <w:p w:rsidR="00E01928" w:rsidRDefault="00E01928" w:rsidP="00E01928">
            <w:pPr>
              <w:spacing w:after="120" w:line="240" w:lineRule="auto"/>
              <w:contextualSpacing/>
              <w:rPr>
                <w:sz w:val="24"/>
                <w:szCs w:val="24"/>
                <w:lang w:val="en-US"/>
              </w:rPr>
            </w:pPr>
            <w:r>
              <w:rPr>
                <w:sz w:val="24"/>
                <w:szCs w:val="24"/>
                <w:lang w:val="en-US"/>
              </w:rPr>
              <w:t>Союз АУ "Возрождение" - Союз арбитражных управляющих "Возрождение"</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E01928" w:rsidRDefault="00E01928" w:rsidP="00E01928">
            <w:pPr>
              <w:spacing w:after="120" w:line="240" w:lineRule="auto"/>
              <w:contextualSpacing/>
              <w:rPr>
                <w:sz w:val="24"/>
                <w:szCs w:val="24"/>
                <w:lang w:val="en-US"/>
              </w:rPr>
            </w:pPr>
            <w:r>
              <w:rPr>
                <w:sz w:val="24"/>
                <w:szCs w:val="24"/>
                <w:lang w:val="en-US"/>
              </w:rPr>
              <w:t>17760</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E01928" w:rsidRDefault="00E01928" w:rsidP="00E01928">
            <w:pPr>
              <w:spacing w:after="120" w:line="240" w:lineRule="auto"/>
              <w:contextualSpacing/>
              <w:rPr>
                <w:sz w:val="24"/>
                <w:szCs w:val="24"/>
              </w:rPr>
            </w:pPr>
            <w:r>
              <w:rPr>
                <w:sz w:val="24"/>
                <w:szCs w:val="24"/>
              </w:rPr>
              <w:t>Арбитражного суда Саратовской области</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Номер дела о банкротстве</w:t>
            </w:r>
          </w:p>
        </w:tc>
        <w:tc>
          <w:tcPr>
            <w:tcW w:w="4786" w:type="dxa"/>
          </w:tcPr>
          <w:p w:rsidR="00E01928" w:rsidRDefault="00E01928" w:rsidP="00E01928">
            <w:pPr>
              <w:spacing w:after="120" w:line="240" w:lineRule="auto"/>
              <w:contextualSpacing/>
              <w:rPr>
                <w:sz w:val="24"/>
                <w:szCs w:val="24"/>
              </w:rPr>
            </w:pPr>
            <w:r>
              <w:rPr>
                <w:sz w:val="24"/>
                <w:szCs w:val="24"/>
              </w:rPr>
              <w:t>А57-6161/2019</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Основание для проведения торгов</w:t>
            </w:r>
          </w:p>
        </w:tc>
        <w:tc>
          <w:tcPr>
            <w:tcW w:w="4786" w:type="dxa"/>
          </w:tcPr>
          <w:p w:rsidR="00E01928" w:rsidRDefault="00E01928" w:rsidP="00E01928">
            <w:pPr>
              <w:spacing w:after="120" w:line="240" w:lineRule="auto"/>
              <w:contextualSpacing/>
              <w:rPr>
                <w:sz w:val="24"/>
                <w:szCs w:val="24"/>
              </w:rPr>
            </w:pPr>
            <w:r>
              <w:rPr>
                <w:sz w:val="24"/>
                <w:szCs w:val="24"/>
              </w:rPr>
              <w:t>Публикация на ЕФРСБ №4311377 об утверждении положения</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E01928" w:rsidRDefault="00E01928" w:rsidP="00E01928">
            <w:pPr>
              <w:spacing w:after="120" w:line="240" w:lineRule="auto"/>
              <w:contextualSpacing/>
              <w:rPr>
                <w:sz w:val="24"/>
                <w:szCs w:val="24"/>
              </w:rPr>
            </w:pPr>
            <w:r>
              <w:rPr>
                <w:sz w:val="24"/>
                <w:szCs w:val="24"/>
              </w:rPr>
              <w:t>Физическое лицо</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ФИО</w:t>
            </w:r>
          </w:p>
        </w:tc>
        <w:tc>
          <w:tcPr>
            <w:tcW w:w="4786" w:type="dxa"/>
          </w:tcPr>
          <w:p w:rsidR="00E01928" w:rsidRDefault="00E01928" w:rsidP="00E01928">
            <w:pPr>
              <w:spacing w:after="120" w:line="240" w:lineRule="auto"/>
              <w:contextualSpacing/>
              <w:rPr>
                <w:sz w:val="24"/>
                <w:szCs w:val="24"/>
              </w:rPr>
            </w:pPr>
            <w:r>
              <w:rPr>
                <w:sz w:val="24"/>
                <w:szCs w:val="24"/>
              </w:rPr>
              <w:t>Федоров Сергей Владимирович</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ИНН</w:t>
            </w:r>
          </w:p>
        </w:tc>
        <w:tc>
          <w:tcPr>
            <w:tcW w:w="4786" w:type="dxa"/>
          </w:tcPr>
          <w:p w:rsidR="00E01928" w:rsidRDefault="00E01928" w:rsidP="00E01928">
            <w:pPr>
              <w:spacing w:after="120" w:line="240" w:lineRule="auto"/>
              <w:contextualSpacing/>
              <w:rPr>
                <w:sz w:val="24"/>
                <w:szCs w:val="24"/>
              </w:rPr>
            </w:pPr>
            <w:r>
              <w:rPr>
                <w:sz w:val="24"/>
                <w:szCs w:val="24"/>
              </w:rPr>
              <w:t>643907216104</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E01928" w:rsidRDefault="00E01928" w:rsidP="00E01928">
            <w:pPr>
              <w:spacing w:after="120" w:line="240" w:lineRule="auto"/>
              <w:contextualSpacing/>
              <w:rPr>
                <w:sz w:val="24"/>
                <w:szCs w:val="24"/>
              </w:rPr>
            </w:pPr>
            <w:r>
              <w:rPr>
                <w:sz w:val="24"/>
                <w:szCs w:val="24"/>
              </w:rPr>
              <w:t>Передача имущества и оформление права собственности на него осуществляются в соответствии с законодательством и договором купли-продажи только после полной оплаты имущества. Право собственности к покупателю переходит только после полной оплаты приобретаемого имущества. Организатор торгов подписывает договор купли-продажи имущества с лицом, выигравшим торги не позднее пяти календарных дней с даты подписания протокола об итогах торгов. Покупатель обязан полностью оплатить приобретаемое Имущество в срок не позднее 30 (тридцати) календарных дней с даты подписания договора купли - продажи. Покупатель имущества перечисляет денежные средства на банковский счет, указанный организатором торгов. Датой оплаты имущества Должника считается дата зачисления денежных средств на банковский счет. Реквизиты для оплаты приобретаемого имущества: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по договору купли-продажи имущества Савельева Ю.А. При заключении договора с лицом, выигравшим торги, сумма внесенного им задатка засчитывается в счет исполнения обязательств по заключенному договору.</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E01928" w:rsidRDefault="00E01928" w:rsidP="00E01928">
            <w:pPr>
              <w:spacing w:after="120" w:line="240" w:lineRule="auto"/>
              <w:contextualSpacing/>
              <w:rPr>
                <w:sz w:val="24"/>
                <w:szCs w:val="24"/>
              </w:rPr>
            </w:pPr>
            <w:r>
              <w:rPr>
                <w:sz w:val="24"/>
                <w:szCs w:val="24"/>
              </w:rPr>
              <w:t>Федоров Сергей Владимирович</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Контактный телефон</w:t>
            </w:r>
          </w:p>
        </w:tc>
        <w:tc>
          <w:tcPr>
            <w:tcW w:w="4786" w:type="dxa"/>
          </w:tcPr>
          <w:p w:rsidR="00E01928" w:rsidRDefault="00E01928" w:rsidP="00E01928">
            <w:pPr>
              <w:spacing w:after="120" w:line="240" w:lineRule="auto"/>
              <w:contextualSpacing/>
              <w:rPr>
                <w:sz w:val="24"/>
                <w:szCs w:val="24"/>
              </w:rPr>
            </w:pPr>
            <w:r>
              <w:rPr>
                <w:sz w:val="24"/>
                <w:szCs w:val="24"/>
              </w:rPr>
              <w:t>+79020468511</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Адрес электронной почты</w:t>
            </w:r>
          </w:p>
        </w:tc>
        <w:tc>
          <w:tcPr>
            <w:tcW w:w="4786" w:type="dxa"/>
          </w:tcPr>
          <w:p w:rsidR="00E01928" w:rsidRDefault="00E01928" w:rsidP="00E01928">
            <w:pPr>
              <w:spacing w:after="120" w:line="240" w:lineRule="auto"/>
              <w:contextualSpacing/>
              <w:rPr>
                <w:sz w:val="24"/>
                <w:szCs w:val="24"/>
              </w:rPr>
            </w:pPr>
            <w:r>
              <w:rPr>
                <w:sz w:val="24"/>
                <w:szCs w:val="24"/>
              </w:rPr>
              <w:t>au.fedorovsv@yandex.ru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E01928" w:rsidRDefault="00E01928"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Наименование лота</w:t>
            </w:r>
          </w:p>
        </w:tc>
        <w:tc>
          <w:tcPr>
            <w:tcW w:w="4786" w:type="dxa"/>
          </w:tcPr>
          <w:p w:rsidR="00E01928" w:rsidRDefault="00E01928" w:rsidP="00E01928">
            <w:pPr>
              <w:spacing w:after="120" w:line="240" w:lineRule="auto"/>
              <w:contextualSpacing/>
              <w:rPr>
                <w:sz w:val="24"/>
                <w:szCs w:val="24"/>
              </w:rPr>
            </w:pPr>
            <w:r>
              <w:rPr>
                <w:sz w:val="24"/>
                <w:szCs w:val="24"/>
              </w:rPr>
              <w:t>Лот №1</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01928" w:rsidRDefault="00E01928" w:rsidP="00E01928">
            <w:pPr>
              <w:spacing w:after="120" w:line="240" w:lineRule="auto"/>
              <w:contextualSpacing/>
              <w:rPr>
                <w:sz w:val="24"/>
                <w:szCs w:val="24"/>
              </w:rPr>
            </w:pPr>
            <w:r>
              <w:rPr>
                <w:sz w:val="24"/>
                <w:szCs w:val="24"/>
              </w:rPr>
              <w:tab/>
              <w:t>Заявка на участие в повторны торгах (далее "торгах") должна соответствовать требованиям Приказа Минэкономразвития России от 23.07.2015 № 495, указанным в сообщении о проведении торгов. Заявка на участие в торгах оформляется в форме электронного документа. К участию в торгах допускаются физические и юридические лица,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 объявленным в информационном сообщении, в срок не менее чем 25 рабочих дней со дня опубликования и размещения сообщения о проведении торгов. Заявка на участие в торгах должна соответствовать требованиям, указанным в сообщении о проведении торгов, и подписана электронной подписью заявителя. Заявка на участие должна содержать: 1. Обязательство участника открытых торгов соблюдать требования, указанные в сообщении о проведении открытых торгов (в случае наличия таких требований); 2.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3. Сведения о наличии или отсутствии заинтересованности Заявителя по отношению к Должнику, Залоговому кредитору,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другие документы, предусмотренные Законом о банкротстве и Приказом Минэкономразвития России от 23.07.2015 № 495. Заявитель вправе изменить или отозвать заявку на участие в открытых торгах не позднее окончания срока подачи заявок на участие в открытых торгах, направив об этом уведомление оператору электронной площадки, в форме электронного сообщения, подписанного квалифицированной электронной подписью заявителя. Для участия в торгах Заявитель должен внести задаток в размере 20 %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Решение организатора торгов о допуске заявителей к участию в открытых торгах принимается в течение 5 дней,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 подписанного квалифицированной электронной подписью. Организатор торгов обязан обеспечить конфиденциальность сведений, содержащихся в представленных заявках на участие в торгах. Решение об отказе в допуске Заявителя к участию в торгах принимается в случае, если: 1. заявка на участие не соответствует установленным требованиям; 2. представленные заявителем документы не соответствуют установленным к ним требованиям или сведения, содержащиеся в них, недостоверны. 3. поступление задатка на счета, указанные в сообщение о проведении торгов, не подтверждено на дату составления протокола об определении участников торгов. Указанный перечень оснований для отказа является исчерпывающим. Одно лицо имеет право подать только одну заявку. Заявитель вправе отозвать заявку на участие в открытых торгах, направив об этом уведомление организатору торгов. Изменение заявки допускается только путем подачи заявителем новой заявки в сроки, установленные настоящим Предложением, при этом первоначальная заявка должна быть отозвана. В случае, если в новой заявке не содержится сведений об отзыве первоначальной заявки, ни одна из заявок не рассматривается.</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E01928" w:rsidRDefault="00E01928" w:rsidP="00E01928">
            <w:pPr>
              <w:spacing w:after="120" w:line="240" w:lineRule="auto"/>
              <w:contextualSpacing/>
              <w:rPr>
                <w:sz w:val="24"/>
                <w:szCs w:val="24"/>
              </w:rPr>
            </w:pPr>
            <w:r>
              <w:rPr>
                <w:sz w:val="24"/>
                <w:szCs w:val="24"/>
              </w:rPr>
              <w:t>Недвижимое имущество, квартира, общая площадь 52,3 кв.м., расположенная по адресу: Россия, Саратовская обл., г.Балаково, , ул. Саратовское шоссе, д.69/2, кв. 49, кадастровый (или условный) номер 64:40:030301:3623</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Начальная цена</w:t>
            </w:r>
          </w:p>
        </w:tc>
        <w:tc>
          <w:tcPr>
            <w:tcW w:w="4786" w:type="dxa"/>
          </w:tcPr>
          <w:p w:rsidR="00E01928" w:rsidRDefault="00E01928" w:rsidP="00E01928">
            <w:pPr>
              <w:spacing w:after="120" w:line="240" w:lineRule="auto"/>
              <w:contextualSpacing/>
              <w:rPr>
                <w:sz w:val="24"/>
                <w:szCs w:val="24"/>
              </w:rPr>
            </w:pPr>
            <w:r>
              <w:rPr>
                <w:sz w:val="24"/>
                <w:szCs w:val="24"/>
              </w:rPr>
              <w:t>1512000,00</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Обеспечение задатка</w:t>
            </w:r>
          </w:p>
        </w:tc>
        <w:tc>
          <w:tcPr>
            <w:tcW w:w="4786" w:type="dxa"/>
          </w:tcPr>
          <w:p w:rsidR="00E01928" w:rsidRDefault="00E01928" w:rsidP="00E01928">
            <w:pPr>
              <w:spacing w:after="120" w:line="240" w:lineRule="auto"/>
              <w:contextualSpacing/>
              <w:rPr>
                <w:sz w:val="24"/>
                <w:szCs w:val="24"/>
              </w:rPr>
            </w:pPr>
            <w:r>
              <w:rPr>
                <w:sz w:val="24"/>
                <w:szCs w:val="24"/>
              </w:rPr>
              <w:t>Процент от начальной цены лота</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Размер задатка</w:t>
            </w:r>
          </w:p>
        </w:tc>
        <w:tc>
          <w:tcPr>
            <w:tcW w:w="4786" w:type="dxa"/>
          </w:tcPr>
          <w:p w:rsidR="00E01928" w:rsidRDefault="00E01928" w:rsidP="00E01928">
            <w:pPr>
              <w:spacing w:after="120" w:line="240" w:lineRule="auto"/>
              <w:contextualSpacing/>
              <w:rPr>
                <w:sz w:val="24"/>
                <w:szCs w:val="24"/>
              </w:rPr>
            </w:pPr>
            <w:r>
              <w:rPr>
                <w:sz w:val="24"/>
                <w:szCs w:val="24"/>
              </w:rPr>
              <w:t>10</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Порядок внесения и возврата задатка</w:t>
            </w:r>
          </w:p>
        </w:tc>
        <w:tc>
          <w:tcPr>
            <w:tcW w:w="4786" w:type="dxa"/>
          </w:tcPr>
          <w:p w:rsidR="00E01928" w:rsidRDefault="00E01928" w:rsidP="00E01928">
            <w:pPr>
              <w:spacing w:after="120" w:line="240" w:lineRule="auto"/>
              <w:contextualSpacing/>
              <w:rPr>
                <w:sz w:val="24"/>
                <w:szCs w:val="24"/>
              </w:rPr>
            </w:pPr>
            <w:r>
              <w:rPr>
                <w:sz w:val="24"/>
                <w:szCs w:val="24"/>
              </w:rPr>
              <w:t>Для участия в торгах Заявитель должен внести задаток в размере 10 %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w:t>
            </w:r>
          </w:p>
        </w:tc>
      </w:tr>
      <w:tr w:rsidR="00E01928">
        <w:tblPrEx>
          <w:tblCellMar>
            <w:top w:w="0" w:type="dxa"/>
            <w:bottom w:w="0" w:type="dxa"/>
          </w:tblCellMar>
        </w:tblPrEx>
        <w:tc>
          <w:tcPr>
            <w:tcW w:w="4785" w:type="dxa"/>
          </w:tcPr>
          <w:p w:rsidR="00E01928" w:rsidRDefault="00E01928" w:rsidP="00E01928">
            <w:pPr>
              <w:spacing w:after="120" w:line="240" w:lineRule="auto"/>
              <w:contextualSpacing/>
              <w:rPr>
                <w:sz w:val="24"/>
                <w:szCs w:val="24"/>
              </w:rPr>
            </w:pPr>
            <w:r>
              <w:rPr>
                <w:sz w:val="24"/>
                <w:szCs w:val="24"/>
              </w:rPr>
              <w:t>Счет для внесения задатка</w:t>
            </w:r>
          </w:p>
        </w:tc>
        <w:tc>
          <w:tcPr>
            <w:tcW w:w="4786" w:type="dxa"/>
          </w:tcPr>
          <w:p w:rsidR="00E01928" w:rsidRDefault="00E01928" w:rsidP="00E01928">
            <w:pPr>
              <w:spacing w:after="120" w:line="240" w:lineRule="auto"/>
              <w:contextualSpacing/>
              <w:rPr>
                <w:sz w:val="24"/>
                <w:szCs w:val="24"/>
              </w:rPr>
            </w:pPr>
            <w:r>
              <w:rPr>
                <w:sz w:val="24"/>
                <w:szCs w:val="24"/>
              </w:rPr>
              <w:t>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w:t>
            </w:r>
          </w:p>
        </w:tc>
      </w:tr>
    </w:tbl>
    <w:p w:rsidR="00E01928"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E01928">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E01928">
        <w:tblPrEx>
          <w:tblCellMar>
            <w:top w:w="0" w:type="dxa"/>
            <w:bottom w:w="0" w:type="dxa"/>
          </w:tblCellMar>
        </w:tblPrEx>
        <w:tc>
          <w:tcPr>
            <w:tcW w:w="2392" w:type="dxa"/>
          </w:tcPr>
          <w:p w:rsidR="00E01928" w:rsidRDefault="00E01928" w:rsidP="00E01928">
            <w:pPr>
              <w:spacing w:after="120" w:line="240" w:lineRule="auto"/>
              <w:contextualSpacing/>
              <w:rPr>
                <w:sz w:val="24"/>
                <w:szCs w:val="24"/>
              </w:rPr>
            </w:pPr>
          </w:p>
        </w:tc>
        <w:tc>
          <w:tcPr>
            <w:tcW w:w="2393" w:type="dxa"/>
          </w:tcPr>
          <w:p w:rsidR="00E01928" w:rsidRDefault="00E01928" w:rsidP="00E01928">
            <w:pPr>
              <w:spacing w:after="120" w:line="240" w:lineRule="auto"/>
              <w:contextualSpacing/>
              <w:rPr>
                <w:sz w:val="24"/>
                <w:szCs w:val="24"/>
              </w:rPr>
            </w:pPr>
            <w:r>
              <w:rPr>
                <w:sz w:val="24"/>
                <w:szCs w:val="24"/>
              </w:rPr>
              <w:t>Наименование участника лота аукциона</w:t>
            </w:r>
          </w:p>
        </w:tc>
        <w:tc>
          <w:tcPr>
            <w:tcW w:w="2393" w:type="dxa"/>
          </w:tcPr>
          <w:p w:rsidR="00E01928" w:rsidRDefault="00E01928" w:rsidP="00E01928">
            <w:pPr>
              <w:spacing w:after="120" w:line="240" w:lineRule="auto"/>
              <w:contextualSpacing/>
              <w:rPr>
                <w:sz w:val="24"/>
                <w:szCs w:val="24"/>
              </w:rPr>
            </w:pPr>
            <w:r>
              <w:rPr>
                <w:sz w:val="24"/>
                <w:szCs w:val="24"/>
              </w:rPr>
              <w:t>Место нахождения</w:t>
            </w:r>
          </w:p>
        </w:tc>
        <w:tc>
          <w:tcPr>
            <w:tcW w:w="2393" w:type="dxa"/>
          </w:tcPr>
          <w:p w:rsidR="00E01928" w:rsidRDefault="00E01928" w:rsidP="00E01928">
            <w:pPr>
              <w:spacing w:after="120" w:line="240" w:lineRule="auto"/>
              <w:contextualSpacing/>
              <w:rPr>
                <w:sz w:val="24"/>
                <w:szCs w:val="24"/>
              </w:rPr>
            </w:pPr>
            <w:r>
              <w:rPr>
                <w:sz w:val="24"/>
                <w:szCs w:val="24"/>
              </w:rPr>
              <w:t>Цена, предложенная участником</w:t>
            </w:r>
          </w:p>
        </w:tc>
      </w:tr>
      <w:tr w:rsidR="00E01928">
        <w:tblPrEx>
          <w:tblCellMar>
            <w:top w:w="0" w:type="dxa"/>
            <w:bottom w:w="0" w:type="dxa"/>
          </w:tblCellMar>
        </w:tblPrEx>
        <w:tc>
          <w:tcPr>
            <w:tcW w:w="2392" w:type="dxa"/>
          </w:tcPr>
          <w:p w:rsidR="00E01928" w:rsidRDefault="00E01928" w:rsidP="00E01928">
            <w:pPr>
              <w:spacing w:after="120" w:line="240" w:lineRule="auto"/>
              <w:contextualSpacing/>
              <w:rPr>
                <w:sz w:val="24"/>
                <w:szCs w:val="24"/>
              </w:rPr>
            </w:pPr>
          </w:p>
        </w:tc>
        <w:tc>
          <w:tcPr>
            <w:tcW w:w="2393" w:type="dxa"/>
          </w:tcPr>
          <w:p w:rsidR="00E01928" w:rsidRDefault="00E01928" w:rsidP="00E01928">
            <w:pPr>
              <w:spacing w:after="120" w:line="240" w:lineRule="auto"/>
              <w:contextualSpacing/>
              <w:rPr>
                <w:sz w:val="24"/>
                <w:szCs w:val="24"/>
              </w:rPr>
            </w:pPr>
            <w:r>
              <w:rPr>
                <w:sz w:val="24"/>
                <w:szCs w:val="24"/>
              </w:rPr>
              <w:t>Морозов Алексей Игоревич (ИНН-643919869482)</w:t>
            </w:r>
          </w:p>
        </w:tc>
        <w:tc>
          <w:tcPr>
            <w:tcW w:w="2393" w:type="dxa"/>
          </w:tcPr>
          <w:p w:rsidR="00E01928" w:rsidRDefault="00E01928" w:rsidP="00E01928">
            <w:pPr>
              <w:spacing w:after="120" w:line="240" w:lineRule="auto"/>
              <w:contextualSpacing/>
              <w:rPr>
                <w:sz w:val="24"/>
                <w:szCs w:val="24"/>
              </w:rPr>
            </w:pPr>
            <w:r>
              <w:rPr>
                <w:sz w:val="24"/>
                <w:szCs w:val="24"/>
              </w:rPr>
              <w:t>413851, Саратовская обл., г. Балаково, ул. Волжская, д. 53, кв. 13</w:t>
            </w:r>
          </w:p>
        </w:tc>
        <w:tc>
          <w:tcPr>
            <w:tcW w:w="2393" w:type="dxa"/>
          </w:tcPr>
          <w:p w:rsidR="00E01928" w:rsidRDefault="00E01928" w:rsidP="00E01928">
            <w:pPr>
              <w:spacing w:after="120" w:line="240" w:lineRule="auto"/>
              <w:contextualSpacing/>
              <w:rPr>
                <w:sz w:val="24"/>
                <w:szCs w:val="24"/>
              </w:rPr>
            </w:pPr>
            <w:r>
              <w:rPr>
                <w:sz w:val="24"/>
                <w:szCs w:val="24"/>
              </w:rPr>
              <w:t>1286013 руб.</w:t>
            </w:r>
          </w:p>
        </w:tc>
      </w:tr>
      <w:tr w:rsidR="00E01928">
        <w:tblPrEx>
          <w:tblCellMar>
            <w:top w:w="0" w:type="dxa"/>
            <w:bottom w:w="0" w:type="dxa"/>
          </w:tblCellMar>
        </w:tblPrEx>
        <w:tc>
          <w:tcPr>
            <w:tcW w:w="2392" w:type="dxa"/>
          </w:tcPr>
          <w:p w:rsidR="00E01928" w:rsidRDefault="00E01928" w:rsidP="00E01928">
            <w:pPr>
              <w:spacing w:after="120" w:line="240" w:lineRule="auto"/>
              <w:contextualSpacing/>
              <w:rPr>
                <w:sz w:val="24"/>
                <w:szCs w:val="24"/>
              </w:rPr>
            </w:pPr>
            <w:r>
              <w:rPr>
                <w:sz w:val="24"/>
                <w:szCs w:val="24"/>
              </w:rPr>
              <w:t>Победитель</w:t>
            </w:r>
          </w:p>
        </w:tc>
        <w:tc>
          <w:tcPr>
            <w:tcW w:w="2393" w:type="dxa"/>
          </w:tcPr>
          <w:p w:rsidR="00E01928" w:rsidRDefault="00E01928" w:rsidP="00E01928">
            <w:pPr>
              <w:spacing w:after="120" w:line="240" w:lineRule="auto"/>
              <w:contextualSpacing/>
              <w:rPr>
                <w:sz w:val="24"/>
                <w:szCs w:val="24"/>
              </w:rPr>
            </w:pPr>
            <w:r>
              <w:rPr>
                <w:sz w:val="24"/>
                <w:szCs w:val="24"/>
              </w:rPr>
              <w:t>Безрукова Надежда Николаевна (ИНН-643964945946)</w:t>
            </w:r>
          </w:p>
        </w:tc>
        <w:tc>
          <w:tcPr>
            <w:tcW w:w="2393" w:type="dxa"/>
          </w:tcPr>
          <w:p w:rsidR="00E01928" w:rsidRDefault="00E01928" w:rsidP="00E01928">
            <w:pPr>
              <w:spacing w:after="120" w:line="240" w:lineRule="auto"/>
              <w:contextualSpacing/>
              <w:rPr>
                <w:sz w:val="24"/>
                <w:szCs w:val="24"/>
              </w:rPr>
            </w:pPr>
            <w:r>
              <w:rPr>
                <w:sz w:val="24"/>
                <w:szCs w:val="24"/>
              </w:rPr>
              <w:t>Саратовская область, г. Балаково, ул. Степная д. 31 «В», кв. 36</w:t>
            </w:r>
          </w:p>
        </w:tc>
        <w:tc>
          <w:tcPr>
            <w:tcW w:w="2393" w:type="dxa"/>
          </w:tcPr>
          <w:p w:rsidR="00E01928" w:rsidRDefault="00E01928" w:rsidP="00E01928">
            <w:pPr>
              <w:spacing w:after="120" w:line="240" w:lineRule="auto"/>
              <w:contextualSpacing/>
              <w:rPr>
                <w:sz w:val="24"/>
                <w:szCs w:val="24"/>
              </w:rPr>
            </w:pPr>
            <w:r>
              <w:rPr>
                <w:sz w:val="24"/>
                <w:szCs w:val="24"/>
              </w:rPr>
              <w:t>1305197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E01928">
        <w:rPr>
          <w:sz w:val="24"/>
          <w:szCs w:val="24"/>
        </w:rPr>
        <w:t>Победителем публичного предложения по продаже имущества должника Федоров Сергей Владимирович лота № 1 является Безрукова Надежда Николаевна (ИНН-643964945946).</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lastRenderedPageBreak/>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01928"/>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8B2D7-71D4-4EB1-B290-9CE3034F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2112</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2020-06-17T11:11:00Z</dcterms:created>
  <dcterms:modified xsi:type="dcterms:W3CDTF">2020-06-17T11:11:00Z</dcterms:modified>
</cp:coreProperties>
</file>