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2A3" w:rsidRPr="004912A3" w:rsidRDefault="004912A3" w:rsidP="004912A3">
      <w:pPr>
        <w:jc w:val="both"/>
        <w:rPr>
          <w:rFonts w:ascii="Times New Roman" w:hAnsi="Times New Roman" w:cs="Times New Roman"/>
          <w:sz w:val="24"/>
          <w:szCs w:val="24"/>
        </w:rPr>
      </w:pPr>
      <w:r w:rsidRPr="004912A3">
        <w:rPr>
          <w:rFonts w:ascii="Times New Roman" w:hAnsi="Times New Roman" w:cs="Times New Roman"/>
          <w:sz w:val="24"/>
          <w:szCs w:val="24"/>
        </w:rPr>
        <w:t xml:space="preserve">В соответствии с п. 4.2 ст. 138 </w:t>
      </w:r>
      <w:hyperlink r:id="rId4" w:history="1">
        <w:r w:rsidRPr="004912A3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 xml:space="preserve">Федерального закона от 26.10.2002 N 127-ФЗ "О несостоятельности (банкротстве)" </w:t>
        </w:r>
      </w:hyperlink>
      <w:r w:rsidRPr="004912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торги по продаже предмета залога посредством публичного предложения по Лоту № 2 подлежат завершению. </w:t>
      </w:r>
    </w:p>
    <w:p w:rsidR="004912A3" w:rsidRPr="004912A3" w:rsidRDefault="004912A3" w:rsidP="004912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12A3" w:rsidRPr="004912A3" w:rsidRDefault="004912A3">
      <w:pPr>
        <w:rPr>
          <w:rFonts w:ascii="Times New Roman" w:hAnsi="Times New Roman" w:cs="Times New Roman"/>
          <w:sz w:val="24"/>
          <w:szCs w:val="24"/>
        </w:rPr>
      </w:pPr>
    </w:p>
    <w:sectPr w:rsidR="004912A3" w:rsidRPr="00491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7"/>
  <w:proofState w:spelling="clean" w:grammar="clean"/>
  <w:defaultTabStop w:val="708"/>
  <w:characterSpacingControl w:val="doNotCompress"/>
  <w:compat>
    <w:useFELayout/>
  </w:compat>
  <w:rsids>
    <w:rsidRoot w:val="004912A3"/>
    <w:rsid w:val="004912A3"/>
    <w:rsid w:val="00F35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12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933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2019-03-20T12:42:00Z</dcterms:created>
  <dcterms:modified xsi:type="dcterms:W3CDTF">2019-03-20T12:54:00Z</dcterms:modified>
</cp:coreProperties>
</file>