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ДОГОВОР КУПЛИ-ПРОДАЖИ (проект)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г. Москва                  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  <w:rtl w:val="0"/>
        </w:rPr>
        <w:t xml:space="preserve">   «___» __________ 2022 г.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Конкурсный управляющий АО «Республиканская топливно-энергетическая компания»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(ОГРН 1027739127987, ИНН 7708117680, КПП 771501001, адрес (место нахождения): 127282, г. Москва, ул. Чермянская, д.5, стр.1, эт.3, пом.10)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Шкарупин Александр Вячеславович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(ИНН 344502900888, СНИЛС 193-383-476 02, адрес: 400005, г. Волгоград, а/я 3, член ААУ «ЦФОП АПК» (ИНН 7707030411, ОГРН 1107799002057, 107031, г. Москва, ул. Б. Дмитровка, д.32, стр.1), действующий на основании Решения Арбитражного суда города Москвы по делу № А40-214925/2020 от 10.03.2021 г., именуемый в дальнейшем «ПРОДАВЕЦ», с одной стороны, и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победитель торгов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_________________________, именуемый в дальнейшем «ПОКУПАТЕЛЬ»,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ПРЕДМЕТ ДОГОВОРА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Продавец передает в собственность Покупателя, а Покупатель принимает имущество, обремененного залогом ООО "Сбербанк Инвестиции", а также свободное от залога (доля залогового имущества составляет 86,54 %, доля незалогового имущества составляет 13,46 %.):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Лот №6: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Имущественный комплекс, расположенный по адресу: Республика Мордовия, г. Саранск, ул. Титова, д. 10. Полные сведения представлены в табличной форме в Приложении №1 к настоящему договору.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1.2. Настоящий договор подлежит обязательной государственной регистрации в соответствии с ФЗ «О государственной регистрации прав на недвижимое имущество и сделок с ним».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1.3. Существующее обременение права: Ипотека. Продавец гарантирует произвести регистрационные действия по снятию существующего обременения до государственной регистрации настоящего договора после полной оплаты в установленный срок согласно п.2.3 настоящего Договора.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ЦЕНА И ПОРЯДОК РАСЧЕТОВ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2.1. Цена приобретаемого Имущества, предложенная победителем торгов – Покупателем, изменению не подлежит и составляет ____________ рубля.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2.2. При заключении Сторонами настоящего Договора перечисленный Покупателем задаток в размере ____________ рублей засчитывается в счет оплаты стоимости Имущества.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2.3. Доплата Имущества, в размере ____________ рублей осуществляется Покупателем путем перечисления денежных средств на р/с, указанный в пункте 8 настоящего договора в течение 30 дней со дня подписания настоящего договора купли-продажи.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ВОЗНИКНОВЕНИЕ ПРАВА СОБСТВЕННОСТИ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 Право собственности на имущество переходит к Покупателю с момента государственной регистрации права собственности. Расходы по государственной регистрации несет Покупатель.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3.2 Риск случайной гибели Имущества переходит к Покупателю с момента подписания Акта приема-передачи Имущества.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ПРАВА И ОБЯЗАННОСТИ СТОРОН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4.1. Продавец обязан: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передать Покупателю имущество по Акту приема-передачи, являющемуся неотъемлемой частью настоящего Договора в течение 3 (трех) рабочих дней с момента оплаты по настоящему Договору;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представить все необходимые документы для заключения настоящего Договора и нести ответственность за их достоверность;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 получении сведений об изменении реквизитов, указанных в пункте 8 настоящего договора, письменно своевременно уведомить о таком изменении Покупателя.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4.2. Покупатель обязан: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оплатить имущество по цене, указанной в п.2.1 настоящего Договора. Покупатель считается выполнившим свои обязательства по оплате приобретаемого имущества с момента полной оплаты стоимости, указанной в п.2.1 настоящего договора Продавцу.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принять Имущество на условиях, предусмотренных настоящим Договором.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4.3 В случае не поступления денежных средств в счет оплаты Имущества в сумме и в сроки, указанные в разделе 2.3 настоящего Договора, договор считается расторгнутым</w:t>
      </w:r>
      <w:r w:rsidDel="00000000" w:rsidR="00000000" w:rsidRPr="00000000">
        <w:rPr>
          <w:sz w:val="22"/>
          <w:szCs w:val="22"/>
          <w:rtl w:val="0"/>
        </w:rPr>
        <w:t xml:space="preserve">,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при этом внесенный задаток покупателю не возвращается.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В данном случае оформление Сторонами дополнительного соглашения о расторжении настоящего Договора не требуется.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ОТВЕТСТВЕННОСТЬ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5.2. Во всем, что не предусмотрено настоящим договором, стороны руководствуются действующим законодательством РФ.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 СПОРЫ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6.1. Споры, вытекающие из настоящего договора, подлежат рассмотрению в Арбитражном суде Московской области, в порядке, предусмотренном действующим законодательством РФ.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 ПРОЧИЕ УСЛОВИЯ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7.1. Имущество, являющееся предметом настоящего договора, до его подписания сторонами, осмотрено Покупателем и его качество удовлетворяет Покупателя. Передача Имущества и его принятие осуществляется путем подписания передаточного Акта.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7.2. При подписании настоящего Договора сторонам известны следующие положения действующего законодательства: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возможность расторжения настоящего Договора по иску заинтересованных лиц, чьи интересы нарушены заключением Договора;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обстоятельствах;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порядок передачи недвижимости по подписанному сторонами передаточному Акту;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требования к документам, представляемым на государственную регистрацию прав на недвижимое имущество.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7.3. Настоящий Договор составлен в трех экземплярах, имеющих одинаковую юридическую силу из которых два – сторонам по договору, а один экземпляр передается в учреждение по регистрации прав на недвижимое имущество и сделок с ним.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7.4. Договор вступает в силу с момента его подписания и действует до полного исполнения сторонами своих обязательств.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7.5. К договору прилагается Акт приема-передачи Имущества.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7.6. Текст настоящего Договора прочитан и понятен.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8. РЕКВИЗИТЫ И ПОДПИСИ СТОРОН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73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070"/>
        <w:gridCol w:w="5103"/>
        <w:tblGridChange w:id="0">
          <w:tblGrid>
            <w:gridCol w:w="5070"/>
            <w:gridCol w:w="510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Продавец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Конкурсный управляющий 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АО «Компания «Ростопэнерго» 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Шкарупин Александр Вячеславович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ИНН 344502900888, СНИЛС 193-383-47602, 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Почтовый адрес: 400005, г. Волгоград, а/я 3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Реквизиты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Получатель: АО «Компания «Ростопэнерго» 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р/с 40702810211000020854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Волгоградское отделение №8621 ПАО Сбербанк, 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к/с 30101810100000000647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БИК 041806647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Конкурсный управляющий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____________________/ Шкарупин А.В.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Покупатель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2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Приложение №1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2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к Договору купли-продажи от __.__.2022г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Перечень имущества в составе лота №6,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расположенного по адресу: Республика Мордовия, г. Саранск, ул. Титова, д. 10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51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68"/>
        <w:gridCol w:w="1418"/>
        <w:gridCol w:w="4677"/>
        <w:gridCol w:w="1998"/>
        <w:gridCol w:w="1854"/>
        <w:tblGridChange w:id="0">
          <w:tblGrid>
            <w:gridCol w:w="568"/>
            <w:gridCol w:w="1418"/>
            <w:gridCol w:w="4677"/>
            <w:gridCol w:w="1998"/>
            <w:gridCol w:w="1854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№ п/п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Тип объекта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Наименование объекта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Кадастровый номер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Площадь, протяженность, количество (кв.м., п.м., ед.)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Помещение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Подсобные помещения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13:23:0904243:784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394,8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Помещение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Склад пристрой к зданию цеха №3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13:23:1004117:104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656,7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ОПР и ДЦ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13:23:1004117:103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1703,6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станции очистки аргона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13:23:1004117:116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263,8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Пристрой к стекольному корпусу №1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13:23:1004117:118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35,7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очистных сооружений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13:23:1004117:23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578,9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Стекольный корпус №2 с пристроем для варки силикатного клея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13089,4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Склад кислот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13:23:1004117:26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1110,6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усреднителя очистных сооружений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13:23:1004117:28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35,9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Склад горючих материалов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13:23:1004117:34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164,6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южной проходной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13:23:1004117:35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90,7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Южная проходная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90,7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Дом контролеров пропускного режима (северная проходная)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90,7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склада материалов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13:23:1004117:38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143,6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склада спирта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13:23:1004117:39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56,8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склада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13:23:1004117:40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депо с пристроем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13:23:1004117:41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223,1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контрольно-пропускного пункта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13:23:1004117:42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6,4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кузницы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13:23:1004117:48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341,5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Нежилое здание - складское помещение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13:23:1004117:49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24,8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утилизации кислоты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13:23:1004117:54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9,4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гараж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13:23:1004117:56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1352,1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Водородно-кислородная станция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13:23:1004117:58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533,9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энергокорпуса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13:23:1004117:59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1472,6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Насосная станция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13:23:1004117:62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111,9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цеха №11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894,1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строительного цеха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13:23:1004117:66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843,9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бытовых помещений (1-й очереди)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13:23:1004117:67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2188,1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Стекольный корпус №1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13:23:1004117:70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6350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Компрессорная высокого давления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13:23:1004117:72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733,3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насосной и трансформаторной подстанции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13:23:1004117:74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74,6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кафе-столовой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13:23:1004117:75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1073,9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главного корпуса с галереями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13:23:1004117:77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15051,9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Склад огнеупоров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13:23:1004117:80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286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корпуса инструментального производства и цеха №14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13:23:1004117:85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7283,8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кислородно-азотной станции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13:23:1004117:102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2442,7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камеры увлажнения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13:23:1004117:81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18,3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контрольно-пропускного пункта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9,5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 пункта газорегуляторного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13:23:1004117:84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77,6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Склад арочного типа (ранее инертных материалов)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369,4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Склад (Западнее Северных ворот)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164,6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Склад извести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164,6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Склад пропана, карбида корпус 56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164,6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Трансформаторная подстанция №2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Канализация ливневая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13:23:1004117:52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476,01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Канализация наружная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13:23:000000:389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462,41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Сети пром. Противопож. Водопровода вп №2 от П-2 до промплощ.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3443,32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Навес для баллонов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13:23:0000000:388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77,1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Газгольдер водородный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13:23:1004117:29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280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Резервуар железобетонный подземный 500 куб.м.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13:23:1004117:36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500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Резервуар железобетонный подземный 500 куб.м.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13:23:1004117:37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500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Резервуар подземный 300 куб.м.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13:23:1004117:44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300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Сооружение - резервуар железобетонный подземный 800 куб.м.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13:23:1004117:45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800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Дымовая труба стекольного корпуса №2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13:23:1004117:55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28,3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Градирня 3-секционное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13:23:1004117:93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56,3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Ограждение с воротами одностворчатыми, трехстворчатыми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1 597,0</w:t>
            </w:r>
          </w:p>
        </w:tc>
      </w:tr>
    </w:tbl>
    <w:p w:rsidR="00000000" w:rsidDel="00000000" w:rsidP="00000000" w:rsidRDefault="00000000" w:rsidRPr="00000000" w14:paraId="000001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456.0" w:type="dxa"/>
        <w:jc w:val="left"/>
        <w:tblInd w:w="0.0" w:type="dxa"/>
        <w:tblLayout w:type="fixed"/>
        <w:tblLook w:val="0000"/>
      </w:tblPr>
      <w:tblGrid>
        <w:gridCol w:w="5211"/>
        <w:gridCol w:w="5245"/>
        <w:tblGridChange w:id="0">
          <w:tblGrid>
            <w:gridCol w:w="5211"/>
            <w:gridCol w:w="5245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Продавец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Конкурсный управляющий</w:t>
            </w:r>
          </w:p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____________________/ Шкарупин А.В.</w:t>
            </w:r>
          </w:p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Покупатель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____________________/ ________________</w:t>
            </w:r>
          </w:p>
        </w:tc>
      </w:tr>
    </w:tbl>
    <w:p w:rsidR="00000000" w:rsidDel="00000000" w:rsidP="00000000" w:rsidRDefault="00000000" w:rsidRPr="00000000" w14:paraId="000001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7" w:w="11905" w:orient="portrait"/>
      <w:pgMar w:bottom="568" w:top="426" w:left="1134" w:right="423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nsPlusNormal">
    <w:name w:val="ConsPlusNormal"/>
    <w:next w:val="Обычный"/>
    <w:autoRedefine w:val="0"/>
    <w:hidden w:val="0"/>
    <w:qFormat w:val="0"/>
    <w:pPr>
      <w:widowControl w:val="0"/>
      <w:suppressAutoHyphens w:val="0"/>
      <w:autoSpaceDE w:val="0"/>
      <w:spacing w:line="1" w:lineRule="atLeast"/>
      <w:ind w:leftChars="-1" w:rightChars="0" w:firstLine="720" w:firstLineChars="-1"/>
      <w:textDirection w:val="btLr"/>
      <w:textAlignment w:val="top"/>
      <w:outlineLvl w:val="0"/>
    </w:pPr>
    <w:rPr>
      <w:rFonts w:ascii="Arial" w:cs="Arial" w:eastAsia="Arial" w:hAnsi="Arial"/>
      <w:w w:val="100"/>
      <w:position w:val="-1"/>
      <w:effect w:val="none"/>
      <w:vertAlign w:val="baseline"/>
      <w:cs w:val="0"/>
      <w:em w:val="none"/>
      <w:lang w:bidi="ru-RU" w:eastAsia="ru-RU" w:val="ru-RU"/>
    </w:rPr>
  </w:style>
  <w:style w:type="paragraph" w:styleId="ConsPlusNonformat">
    <w:name w:val="ConsPlusNonformat"/>
    <w:basedOn w:val="Обычный"/>
    <w:next w:val="ConsPlusNormal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eastAsia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ru-RU"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ar-SA" w:val="ru-RU"/>
    </w:r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8"/>
      <w:szCs w:val="20"/>
      <w:effect w:val="none"/>
      <w:vertAlign w:val="baseline"/>
      <w:cs w:val="0"/>
      <w:em w:val="none"/>
      <w:lang w:bidi="ar-SA" w:eastAsia="ru-RU" w:val="ru-RU"/>
    </w:r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PlaceholderText">
    <w:name w:val="Placeholder Text"/>
    <w:next w:val="PlaceholderText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character" w:styleId="paragraph">
    <w:name w:val="paragraph"/>
    <w:next w:val="paragraph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Сеткатаблицы">
    <w:name w:val="Сетка таблицы"/>
    <w:basedOn w:val="Обычнаятаблица"/>
    <w:next w:val="Сеткатаблицы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Сеткатаблицы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Гиперссылка">
    <w:name w:val="Гиперссылка"/>
    <w:next w:val="Гиперссылка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Обычный(веб)">
    <w:name w:val="Обычный (веб)"/>
    <w:basedOn w:val="Обычный"/>
    <w:next w:val="Обычный(веб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yoRKVbl4p9+T5VI0upjs6wgB3A==">AMUW2mU780299ES6IahUbUX8vP2aXaRy9Dg9rsXPU+TD/8YNIEsvfWgI2ToJLNvgfC7j5lVgN1oKGVsSUZkQ5noOG+jrqTVSpaCDQWrsGx2GPJMpQd2A7ek0vyPttryKejLk0XPiarwq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2022-01-27T13:21:00Z</dcterms:created>
  <dc:creator>none</dc:creator>
</cp:coreProperties>
</file>