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ДОГОВОР КУПЛИ-ПРОДАЖИ (проект)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г. Москва                                                                                                               «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  <w:rtl w:val="0"/>
        </w:rPr>
        <w:t xml:space="preserve">___» __________ 2022 г.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Конкурсный управляющий АО «Республиканская топливно-энергетическая компания»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(ОГРН 1027739127987, ИНН 7708117680, КПП 771501001, адрес (место нахождения): 127282, г. Москва, ул. Чермянская, д.5, стр.1, эт.3, пом.10)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Шкарупин Александр Вячеславович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(ИНН 344502900888, СНИЛС 193-383-476 02, адрес: 400005, г. Волгоград, а/я 3, член ААУ «ЦФОП АПК» (ИНН 7707030411, ОГРН 1107799002057, 107031, г. Москва, ул. Б. Дмитровка, д.32, стр.1), действующий на основании Решения Арбитражного суда города Москвы по делу № А40-214925/2020 от 10.03.2021 г., именуемый в дальнейшем «ПРОДАВЕЦ», с одной стороны, и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победитель торгов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_________________________, именуемый в дальнейшем «ПОКУПАТЕЛЬ», с другой стороны, заключили настоящий договор о нижеследующем: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 ПРЕДМЕТ ДОГОВОРА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70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1.1. В соответствии с условиями настоящего договора Продавец передает в собственность Покупателя, а Покупатель принимает имущество, обремененного залогом ООО "Сбербанк Инвестиции", а также свободное от залога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(доля залогового имущества лота составляет 90,37%, доля незалогового имущества составляет 9,63 %):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Лот №5: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Имущественный комплекс, расположенный по адресу: Республика Башкортостан, г Уфа, р-н Орджоникидзевский, ул. Юбилейная, № 1. Полные сведения представлены в табличной форме в Приложении №1 настоящего договора.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1.2. Настоящий договор подлежит обязательной государственной регистрации в соответствии с ФЗ «О государственной регистрации прав на недвижимое имущество и сделок с ним».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1.3. Существующее обременение права: Ипотека. Продавец гарантирует произвести регистрационные действия по снятию существующего обременения до государственной регистрации настоящего договора после полной оплаты в установленный срок согласно п.2.3 настоящего Договора.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 ЦЕНА И ПОРЯДОК РАСЧЕТОВ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2.1. Цена приобретаемого Имущества, предложенная победителем торгов – Покупателем, изменению не подлежит и составляет ____________ рубля.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2.2. При заключении Сторонами настоящего Договора перечисленный Покупателем задаток в размере ____________ рублей засчитывается в счет оплаты стоимости Имущества.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2.3. Доплата Имущества, в размере ____________ рублей осуществляется Покупателем путем перечисления денежных средств на р/с, указанный в пункте 8 настоящего договора в течение 30 дней со дня подписания настоящего договора купли-продажи.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 ВОЗНИКНОВЕНИЕ ПРАВА СОБСТВЕННОСТИ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3.1 Право собственности на имущество переходит к Покупателю с момента государственной регистрации права собственности. Расходы по государственной регистрации несет Покупатель.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3.2 Риск случайной гибели Имущества переходит к Покупателю с момента подписания Акта приема-передачи Имущества.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 ПРАВА И ОБЯЗАННОСТИ СТОРОН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4.1. Продавец обязан: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передать Покупателю имущество по Акту приема-передачи, являющемуся неотъемлемой частью настоящего Договора в течение 3 (трех) рабочих дней с момента оплаты по настоящему Договору;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представить все необходимые документы для заключения настоящего Договора и нести ответственность за их достоверность;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при получении сведений об изменении реквизитов, указанных в пункте 8 настоящего договора, письменно своевременно уведомить о таком изменении Покупателя.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4.2. Покупатель обязан: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оплатить имущество по цене, указанной в п.2.1 настоящего Договора. Покупатель считается выполнившим свои обязательства по оплате приобретаемого имущества с момента полной оплаты стоимости, указанной в п.2.1 настоящего договора Продавцу.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принять Имущество на условиях, предусмотренных настоящим Договором.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4.3 В случае не поступления денежных средств в счет оплаты Имущества в сумме и в сроки, указанные в разделе 2.3 настоящего Договора, договор считается расторгнутым</w:t>
      </w:r>
      <w:r w:rsidDel="00000000" w:rsidR="00000000" w:rsidRPr="00000000">
        <w:rPr>
          <w:sz w:val="22"/>
          <w:szCs w:val="22"/>
          <w:rtl w:val="0"/>
        </w:rPr>
        <w:t xml:space="preserve">, </w:t>
      </w:r>
      <w:r w:rsidDel="00000000" w:rsidR="00000000" w:rsidRPr="00000000">
        <w:rPr>
          <w:sz w:val="22"/>
          <w:szCs w:val="22"/>
          <w:highlight w:val="white"/>
          <w:rtl w:val="0"/>
        </w:rPr>
        <w:t xml:space="preserve">при этом внесенный задаток покупателю не возвращается.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  <w:rtl w:val="0"/>
        </w:rPr>
        <w:t xml:space="preserve"> В данном случае оформление Сторонами дополнительного соглашения о расторжении настоящего Договора не требуется. 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5. ОТВЕТСТВЕННОСТЬ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5.1. За неисполнение или ненадлежащее исполнение настоящего договора, виновная сторона возмещает другой стороне убытки в размере прямого действительного ущерба.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5.2. Во всем, что не предусмотрено настоящим договором, стороны руководствуются действующим законодательством РФ.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6. СПОРЫ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6.1. Споры, вытекающие из настоящего договора, подлежат рассмотрению в Арбитражном суде Московской области, в порядке, предусмотренном действующим законодательством РФ.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 ПРОЧИЕ УСЛОВИЯ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7.1. Имущество, являющееся предметом настоящего договора, до его подписания сторонами, осмотрено Покупателем и его качество удовлетворяет Покупателя. Передача Имущества и его принятие осуществляется путем подписания передаточного Акта.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7.2. При подписании настоящего Договора сторонам известны следующие положения действующего законодательства: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недействительность сделки с момента ее заключения, если сделка совершена лишь для вида, без намерения создать соответствующие ей правовые последствия, а также совершена с целью прикрыть другую сделку;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возможность расторжения настоящего Договора по иску заинтересованных лиц, чьи интересы нарушены заключением Договора;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возможность предъявления иска о признании Договора недействительным в случае совершения его под влиянием обмана, насилия, угроз, вследствие стечения тяжелых обстоятельств, в течение года со дня прекращения насилия, угроз, а также в случае получения стороной сведений об иных обстоятельствах;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порядок передачи недвижимости по подписанному сторонами передаточному Акту;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требования к документам, представляемым на государственную регистрацию прав на недвижимое имущество.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7.3. Настоящий Договор составлен в трех экземплярах, имеющих одинаковую юридическую силу из которых два – сторонам по договору, а один экземпляр передается в учреждение по регистрации прав на недвижимое имущество и сделок с ним.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7.4. Договор вступает в силу с момента его подписания и действует до полного исполнения сторонами своих обязательств.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7.5. К договору прилагается Акт приема-передачи Имущества.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7.6. Текст настоящего Договора прочитан и понятен.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8. РЕКВИЗИТЫ И ПОДПИСИ СТОРОН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173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070"/>
        <w:gridCol w:w="5103"/>
        <w:tblGridChange w:id="0">
          <w:tblGrid>
            <w:gridCol w:w="5070"/>
            <w:gridCol w:w="5103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Продавец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Конкурсный управляющий 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АО «Компания «Ростопэнерго» </w:t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Шкарупин Александр Вячеславович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ИНН 344502900888, СНИЛС 193-383-47602, 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Почтовый адрес: 400005, г. Волгоград, а/я 3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Реквизиты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Получатель: АО «Компания «Ростопэнерго» </w:t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р/с 40702810211000020854</w:t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Волгоградское отделение №8621 ПАО Сбербанк, 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к/с 30101810100000000647</w:t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БИК 041806647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Конкурсный управляющий</w:t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____________________/ Шкарупин А.В.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Покупатель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142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Приложение №1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142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к Договору купли-продажи от __.__.2022г.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142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142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Перечень имущества в составе лота №5, расположенного по адресу: Республика Башкортостан, г Уфа, р-н Орджо-никидзевский, ул Юбилейная, № 1. </w:t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398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602"/>
        <w:gridCol w:w="1470"/>
        <w:gridCol w:w="4665"/>
        <w:gridCol w:w="1905"/>
        <w:gridCol w:w="1756"/>
        <w:tblGridChange w:id="0">
          <w:tblGrid>
            <w:gridCol w:w="602"/>
            <w:gridCol w:w="1470"/>
            <w:gridCol w:w="4665"/>
            <w:gridCol w:w="1905"/>
            <w:gridCol w:w="1756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№ п/п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Тип объекта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Наименование объекта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Кадастровый номер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Площадь, протяженность, количество (кв.м., п.м., ед.)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Ангар арочного типа (ранее Склад хранения огнеупоров)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369,4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Трансформаторная подстанция №2 Корпус 22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02:55:030312:1392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80,8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Корпус 12 - Административный корпус здравпункт Литер 1Р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02:55:030312:1393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395,2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Корпус 19 Производственный Литер 1А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02:55:030312:1407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3237,2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Корпус 48 миниатюрных ламп Литер 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02:55:030312:1450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20568,3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Корпус 11 Газораспределительный пункт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02:55:030312:1458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26,9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Станция обезвоживания шлама Корпус 73 Литер У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02:55:030312:1459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273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Склад отходов цветных металлов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02:55:030312:1460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71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Корпус 23 Помещение для механизированного узла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02:55:030312:1461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94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Корпус 10 Центральный материальный склад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02:55:030312:1462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1214,2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Склад (за складом литья, корп. 10 центральный материальный склад)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146,8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Корпус 3 Производственный корпус Литер И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02:55:030312:1463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1745,9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Инструментальный цех Производственный корпус №2 Литер 1в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02:55:030312:1464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1042,3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Корпус 18 Кузница с заготовительным участком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02:55:030312:1465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486,6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Корпус 17 административный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02:55:030312:1500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735,5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Склад для хранения колб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02:55:030312:1501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70,5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Столовая С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02:55:030312:1502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1927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Склад литья корпус 51а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02:55:030312:1503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401,6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Корпус 25 Проходная завода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02:55:030312:1524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153,6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Склад отходов цветных металлов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02:55:030312:1525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132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Корпус 35 Главный корпус Литер 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02:55:030312:757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10640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Корпус 4 Заводоуправление Литер 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02:55:030312:775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1264,9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Корпус 5 Производственный корпус лабораторно технический Литер В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02:55:030312:796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1234,6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Склад стройматериалов Корпус 41 Литер И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02:55:030327:10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168,9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Станция осушки и очистки водорода корпус 37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02:55:030327:12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67,8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Склад кислот, Литер Р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02:55:030327:13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332,4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Корпус 44 Водородно-кислородная станция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02:55:030327:14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1042,4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E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Трансформаторная подстанция №1 Корпус 13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02:55:030327:15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136,7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E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Корпус 36 Компрессорная станция Литер Л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02:55:030327:16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729,9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E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Корпус 1 Производственное здание картонажного участка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02:55:030327:17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2230,4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F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Мазутохранилище с насосной с 2-мя котлами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02:55:030327:19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24,4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F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Склад бумаги - пристрой к корпусу 1 Литер 1П1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02:55:030327:20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1122,2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F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Склад бумаги (склад-ангар ТНП)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1630,8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0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Корпус 21 Склад огнеопасных материалов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47,6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0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Корпус 33 Склад готовой продукции стальной ленты стекла Литер 1Б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02:55:030327:5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2766,2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0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Корпус 24 Литер Н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02:55:030327:9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1393,7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1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Галерея между корпусами 32.19 и 33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77,16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1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Галерея между корпус 35 - корп 19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45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1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Сети внутриплощадочные канализации очист соор промстоков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1903,37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2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Внутризаводские автодороги на территории завода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02:55:030312:1392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40000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2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Выпуск канализации с площадки хранилища резервного топлива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02:55:030312:1393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450,54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2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Канапизац сети и колект.хоз.фек.кан.К73кк5 до к55кк1 до колл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02:55:030312:1407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856,94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3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канализационные сети и колект.хоз.фекальная канализация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02:55:030312:1450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233,9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3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Ливневая канализация-10м. Ввод с южной стороны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02:55:030312:1458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10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3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Ливневая канализация- 12м КОРП 5ДК-1 ЗОБ.К-13 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02:55:030312:1459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12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3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Ливневая канализация-12м Отстойник.Кор,24ч/з дорогу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02:55:030312:1460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12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4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Ливневая канализация- 152м.Кор. 15,К-111-115 до выхода в овраг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02:55:030312:1461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152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4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Ливневая канализация-15м.К-130 ДО ДК-131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02:55:030312:1462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15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4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Ливневая канализация-15м.К24 до отстойника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15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5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Ливневая канализация-15м.С кор 34.К-40-41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02:55:030312:1463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15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5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Ливневая канализация-169м ТП N 2.К-125.К-! 17.К-35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02:55:030312:1464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169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5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Ливневая канализация-18м.Отстойник к N8 до кор.24к-108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02:55:030312:1465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18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6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Ливневая канализация-19,3 м К 6/7 от печи N1 корп.15 к-111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02:55:030312:1500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19,3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6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Ливневая канализация-20м К0Р.35.0ВРАГ ОТ-К 117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02:55:030312:1501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6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Ливневая канализация-43м К 35 к-116 до вых.в овраг к117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02:55:030312:1502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43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7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Ливневая каналнзация-47м Корп.6/7.смесь кислот до К-110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02:55:030312:1503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47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7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Ливневая канализация 61 м КОР 35.0ВРАГ ОТ К-1 |7(К-116.К-115)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02:55:030312:1524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61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7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Ливневая канализация-71м+16. АКС к-2 до к112 магистрали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02:55:030312:1525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71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8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Ливневая канализация-77м ДК-131-ТПМ2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02:55:030312:757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77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8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Ливневая канализация-87,5мКорп 1,ДК- 123,ТП N2 К-125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02:55:030312:775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87,5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8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Ливневая канализания-8м Ввод кор 5 от к- 130а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02:55:030312:796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8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8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Ливневая канализация-94м.Кор.24-к. 15.К-111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02:55:030327:10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94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9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Ливневая канадизация-97м печь 6/7 до К- 127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02:55:030327:12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97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9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Ливневая канализация натерр.завода(К 48)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02:55:030327:13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289,36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9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Наруж.сети и хоз.фекальной канализ.на терр.за-вода.К.48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02:55:030327:14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1033,09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A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Наружные сети.Отвод канализ.от сущ.отсг.Во-допровод к к 38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02:55:030327:15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1898,43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A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Подз.соор. нейтрализатор НР по генплану N 68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02:55:030327:16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A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Подз.соор.нейтрализатор кислотно щелочных стоков по генпл64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02:55:030327:17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B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Подз.соор: накопитель разовых кисл щел.стоков по генплл 66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02:55:030327:19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B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Подземные сооружения усреднитель кисл.щел.стоков по генпЛ56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02:55:030327:20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B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Подз.соор.накопитель хром стоков по генплану N67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C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ГТодз.соор.Камера переключениям генплану N74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C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Подз.соор. отстойник по генплану N65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02:55:030327:5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C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Подз.соор.илоуловители по генплану N71 и N72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02:55:030327:9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D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D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D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Резервуар подземный оборотного водоснабжения п40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D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D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D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D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D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Резервуар подземный оборотного водоснабжения N 39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D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D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D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D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D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Сеть канализации кислотно-щелочных стоков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D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D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1432,49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D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E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E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Строительство дожд.канализации с лотком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E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E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870,97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E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E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E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Хот.фекальная канализация-102м кор 33,кор.48,к-2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E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E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102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E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E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E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 фекальная канализация-104м.К16-к37до к34,к-41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E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E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104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E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E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хоз.фекальная канализация-13м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13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F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Хоз.фекальная канализация-13м+6м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19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F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хоз.фекальная канализация-148м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148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F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хоз.фекальная канализация-16м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0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0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16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0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хоз.фекальная канализация-18м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18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0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хоз.фекальная канализация-204.4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204,4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0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хоз.фекальная канализация-21 м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21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1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хоз.фекальная канализация-22м.Кор.5 выпуск с воет.стороны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22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1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хоз.фекальная канализация-24м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24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1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 фек канализация-253мРСУ-к-36 до к-1 у кор 48а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253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2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хоз.фекальная канализация-25м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25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2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хоз.фекальная канализация-25м+8м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33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2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хоз.фекальная канализация-28м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28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2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хоз.фекальная канализация-31 м.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31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3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Хоз.фек канализация-31.5м Вывод с корп.31 К40.38 36.37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31,5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3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хоз.фекальная канализация-31 м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31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3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хоз.фекальная канализация-35м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35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4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хоз.фекальная канализадия-49м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49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4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4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Хоз.фекальная канализация-62м К-2-17. К-22-34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4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62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4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4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хоз.фекальная канализация-63,4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63,4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5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Хоз.фекальная канализация-72м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72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5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5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 фекальная канализация-76м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76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5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хоз.фекальная канализация-8м К 4-к.7г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6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8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6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6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6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 фекальная канализация-8м+22.Выв.к2-к27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30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6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6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6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хоз.фекальная канализация-92м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6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6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92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6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6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6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хоз.фекальная канализация-95,5м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6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6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95,5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7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7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7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хоз.фекальная канализация-9.м.К. 12-7а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7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7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9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7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7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7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 питьевой водопровод-внутриплощ.рас-пред.сети -18+12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7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7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30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7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7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7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Хоз.питьевой ВОДОПРОВОД-внутрипл рас-пред.сети -32 Ввод ПГ-5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7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7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32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7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8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8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Хоз.питьевой водопровод-внутриплощад рас-пюсети- 11м ввод на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8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8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11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8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8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8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 питьевой водопровод-внутриплощад.рас-пюсети- 12м вывод с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8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8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12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8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8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8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Хоз.питьевой В0Д011РОВОД-внутриплощ.рас-пред с ети- 145м.вк-12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8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8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145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8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8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9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хоз.питьевой водопровод-внутриплощ. рас-пред.сети -158мкорп. 10-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9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9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158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9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9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9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 Питьевой ВОДОПРОВОД-внутри-площ.распред.с ети- 15м,ввод на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9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9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15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9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9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9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Хоз.питьев водопровод-внутрипл расп. сети 16мВвод к.8 от к.24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9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9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16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9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9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9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 питьевой водопровод-внутриплощ.рас-пред.сети -16м.ВК-4,кор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A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A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16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A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A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A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Хоз.пит водопровод-внутриплощ расп ред.сети- 21 м.ВК-14,кор.1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A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A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21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A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A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A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Хоз.питьевой ВОДОПРОВОД-внутриплощ.рас-пред с ети- 22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A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A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22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A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A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A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Хоз.питьевой ВОДОПРОВОД-внутрипл. рас-пред.сеги -25мВК-13 док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A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B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25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B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B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B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Хоз.питьевой водопровод внутриплощ.рас-пред.сети-29м ВКП11, к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B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B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29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B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B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B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Хоз.питьевой ВОДОПРОВОД-внутриплощ.рас-пред.с ети- 30м.ввод на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B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B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30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B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B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B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 Питьевой водопровод-внутриплощ.распред сети -35 м корп.5,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B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B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35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C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C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C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 пит ВОДОПРОВОД-внутрипл расп сети 38м ВК-11,столов.-к 34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C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C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38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C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C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C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 Питьевой водопровод-внутриплощ.распред сети -50ма/база1,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C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C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50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C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C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C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 Питьевой ВОДОПРОВОД-виутри-площ.распред.с ети- 58м,ПГ-5.кор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C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C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58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C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D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D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 Питьевой водопровод-внутриплощ.рас-пред.сети -63мкорп.4.в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D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D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63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D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D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D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 Питьевой водопровод-внутриплощ.рас-пред.сети -67 корп.5,к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D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D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67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D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D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D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Хоз.питьевой водопровод внутриплощ.рас-пред.сети-69м корп.44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D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D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69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D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D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E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Хоз.питьевой ВОДОПРОВОД-внутриплощ.рас-пред с ети- 6.ВК-5.К.ЗЗ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E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E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6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E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E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E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 питьевой водопровод-внутришющ.рас-пред.сети -75м,вк-4дов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E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E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75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E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E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E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Ворота механизированные у северной проходной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E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E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6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E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E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E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Ограждение территории завода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F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F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F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F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Оборудование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F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Силовой трансформатор 0.4 ТМ-1000/6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F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F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F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F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Оборудование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F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Трансформатор силовой.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F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F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30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F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F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Оборудование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F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Грансформатор ТМ 630/6-04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F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0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82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0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Оборудование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Трансформатор ТМ-1000/10а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59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0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Оборудование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Лифт пассажирский ПП-404а - 2 ед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</w:tr>
      <w:tr>
        <w:trPr>
          <w:cantSplit w:val="0"/>
          <w:trHeight w:val="278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0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Оборудование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Лифт грузовой на 6 остановок - 1 ед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1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Оборудование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Лифт грузовой гп 3,2т - 1 ед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0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</w:tbl>
    <w:p w:rsidR="00000000" w:rsidDel="00000000" w:rsidP="00000000" w:rsidRDefault="00000000" w:rsidRPr="00000000" w14:paraId="000003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456.0" w:type="dxa"/>
        <w:jc w:val="left"/>
        <w:tblInd w:w="0.0" w:type="dxa"/>
        <w:tblLayout w:type="fixed"/>
        <w:tblLook w:val="0000"/>
      </w:tblPr>
      <w:tblGrid>
        <w:gridCol w:w="5211"/>
        <w:gridCol w:w="5245"/>
        <w:tblGridChange w:id="0">
          <w:tblGrid>
            <w:gridCol w:w="5211"/>
            <w:gridCol w:w="5245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3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Продавец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3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Конкурсный управляющий</w:t>
            </w:r>
          </w:p>
          <w:p w:rsidR="00000000" w:rsidDel="00000000" w:rsidP="00000000" w:rsidRDefault="00000000" w:rsidRPr="00000000" w14:paraId="000003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____________________/ Шкарупин А.В.</w:t>
            </w:r>
          </w:p>
          <w:p w:rsidR="00000000" w:rsidDel="00000000" w:rsidP="00000000" w:rsidRDefault="00000000" w:rsidRPr="00000000" w14:paraId="000003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3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Покупатель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____________________/ ________________</w:t>
            </w:r>
          </w:p>
        </w:tc>
      </w:tr>
    </w:tbl>
    <w:p w:rsidR="00000000" w:rsidDel="00000000" w:rsidP="00000000" w:rsidRDefault="00000000" w:rsidRPr="00000000" w14:paraId="000003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7" w:w="11905" w:orient="portrait"/>
      <w:pgMar w:bottom="568" w:top="426" w:left="1134" w:right="423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  <w:font w:name="Courier New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cs="Noto Sans Symbols" w:eastAsia="Noto Sans Symbols" w:hAnsi="Noto Sans Symbols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Обычный">
    <w:name w:val="Обычный"/>
    <w:next w:val="Обычный"/>
    <w:autoRedefine w:val="0"/>
    <w:hidden w:val="0"/>
    <w:qFormat w:val="0"/>
    <w:p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ar-SA" w:val="ru-RU"/>
    </w:rPr>
  </w:style>
  <w:style w:type="character" w:styleId="Основнойшрифтабзаца">
    <w:name w:val="Основной шрифт абзаца"/>
    <w:next w:val="Основнойшрифтабзаца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Обычнаятаблица">
    <w:name w:val="Обычная таблица"/>
    <w:next w:val="Обычнаятаблица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Нетсписка">
    <w:name w:val="Нет списка"/>
    <w:next w:val="Нетсписка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ConsPlusNormal">
    <w:name w:val="ConsPlusNormal"/>
    <w:next w:val="Обычный"/>
    <w:autoRedefine w:val="0"/>
    <w:hidden w:val="0"/>
    <w:qFormat w:val="0"/>
    <w:pPr>
      <w:widowControl w:val="0"/>
      <w:suppressAutoHyphens w:val="0"/>
      <w:autoSpaceDE w:val="0"/>
      <w:spacing w:line="1" w:lineRule="atLeast"/>
      <w:ind w:leftChars="-1" w:rightChars="0" w:firstLine="720" w:firstLineChars="-1"/>
      <w:textDirection w:val="btLr"/>
      <w:textAlignment w:val="top"/>
      <w:outlineLvl w:val="0"/>
    </w:pPr>
    <w:rPr>
      <w:rFonts w:ascii="Arial" w:cs="Arial" w:eastAsia="Arial" w:hAnsi="Arial"/>
      <w:w w:val="100"/>
      <w:position w:val="-1"/>
      <w:effect w:val="none"/>
      <w:vertAlign w:val="baseline"/>
      <w:cs w:val="0"/>
      <w:em w:val="none"/>
      <w:lang w:bidi="ru-RU" w:eastAsia="ru-RU" w:val="ru-RU"/>
    </w:rPr>
  </w:style>
  <w:style w:type="paragraph" w:styleId="ConsPlusNonformat">
    <w:name w:val="ConsPlusNonformat"/>
    <w:basedOn w:val="Обычный"/>
    <w:next w:val="ConsPlusNormal"/>
    <w:autoRedefine w:val="0"/>
    <w:hidden w:val="0"/>
    <w:qFormat w:val="0"/>
    <w:p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cs="Courier New" w:eastAsia="Courier New" w:hAnsi="Courier New"/>
      <w:w w:val="100"/>
      <w:position w:val="-1"/>
      <w:sz w:val="20"/>
      <w:szCs w:val="20"/>
      <w:effect w:val="none"/>
      <w:vertAlign w:val="baseline"/>
      <w:cs w:val="0"/>
      <w:em w:val="none"/>
      <w:lang w:bidi="ar-SA" w:eastAsia="ar-SA" w:val="ru-RU"/>
    </w:rPr>
  </w:style>
  <w:style w:type="paragraph" w:styleId="Текствыноски">
    <w:name w:val="Текст выноски"/>
    <w:basedOn w:val="Обычный"/>
    <w:next w:val="Текствыноски"/>
    <w:autoRedefine w:val="0"/>
    <w:hidden w:val="0"/>
    <w:qFormat w:val="0"/>
    <w:p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ar-SA" w:val="ru-RU"/>
    </w:rPr>
  </w:style>
  <w:style w:type="paragraph" w:styleId="Основнойтекст">
    <w:name w:val="Основной текст"/>
    <w:basedOn w:val="Обычный"/>
    <w:next w:val="Основнойтекст"/>
    <w:autoRedefine w:val="0"/>
    <w:hidden w:val="0"/>
    <w:qFormat w:val="0"/>
    <w:pPr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position w:val="-1"/>
      <w:sz w:val="28"/>
      <w:szCs w:val="20"/>
      <w:effect w:val="none"/>
      <w:vertAlign w:val="baseline"/>
      <w:cs w:val="0"/>
      <w:em w:val="none"/>
      <w:lang w:bidi="ar-SA" w:eastAsia="ru-RU" w:val="ru-RU"/>
    </w:rPr>
  </w:style>
  <w:style w:type="paragraph" w:styleId="СтандартныйHTML">
    <w:name w:val="Стандартный HTML"/>
    <w:basedOn w:val="Обычный"/>
    <w:next w:val="СтандартныйHTML"/>
    <w:autoRedefine w:val="0"/>
    <w:hidden w:val="0"/>
    <w:qFormat w:val="0"/>
    <w:p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hAnsi="Courier New"/>
      <w:w w:val="100"/>
      <w:position w:val="-1"/>
      <w:sz w:val="20"/>
      <w:szCs w:val="20"/>
      <w:effect w:val="none"/>
      <w:vertAlign w:val="baseline"/>
      <w:cs w:val="0"/>
      <w:em w:val="none"/>
      <w:lang w:bidi="ar-SA" w:eastAsia="ar-SA" w:val="und"/>
    </w:rPr>
  </w:style>
  <w:style w:type="character" w:styleId="СтандартныйHTMLЗнак">
    <w:name w:val="Стандартный HTML Знак"/>
    <w:next w:val="СтандартныйHTMLЗнак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 w:eastAsia="ar-SA"/>
    </w:rPr>
  </w:style>
  <w:style w:type="paragraph" w:styleId="Абзацсписка">
    <w:name w:val="Абзац списка"/>
    <w:basedOn w:val="Обычный"/>
    <w:next w:val="Абзацсписка"/>
    <w:autoRedefine w:val="0"/>
    <w:hidden w:val="0"/>
    <w:qFormat w:val="0"/>
    <w:pPr>
      <w:suppressAutoHyphens w:val="1"/>
      <w:spacing w:line="1" w:lineRule="atLeast"/>
      <w:ind w:left="720" w:leftChars="-1" w:rightChars="0" w:firstLineChars="-1"/>
      <w:contextualSpacing w:val="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PlaceholderText">
    <w:name w:val="Placeholder Text"/>
    <w:next w:val="PlaceholderText"/>
    <w:autoRedefine w:val="0"/>
    <w:hidden w:val="0"/>
    <w:qFormat w:val="0"/>
    <w:rPr>
      <w:color w:val="808080"/>
      <w:w w:val="100"/>
      <w:position w:val="-1"/>
      <w:effect w:val="none"/>
      <w:vertAlign w:val="baseline"/>
      <w:cs w:val="0"/>
      <w:em w:val="none"/>
      <w:lang/>
    </w:rPr>
  </w:style>
  <w:style w:type="character" w:styleId="paragraph">
    <w:name w:val="paragraph"/>
    <w:next w:val="paragraph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Сеткатаблицы">
    <w:name w:val="Сетка таблицы"/>
    <w:basedOn w:val="Обычнаятаблица"/>
    <w:next w:val="Сеткатаблицы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Сеткатаблицы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Гиперссылка">
    <w:name w:val="Гиперссылка"/>
    <w:next w:val="Гиперссылка"/>
    <w:autoRedefine w:val="0"/>
    <w:hidden w:val="0"/>
    <w:qFormat w:val="1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Обычный(веб)">
    <w:name w:val="Обычный (веб)"/>
    <w:basedOn w:val="Обычный"/>
    <w:next w:val="Обычный(веб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yKxvMqlaeqM9YFng/rsBeAuFnMw==">AMUW2mVvN/iSmRjFQL64hAJTDyWX6h86Aj+nchY5at6tiXBljEyXSvjpLUeFgOUCMiu3tO0a3m2kiUmlfrE9bZsNhvnjEGeyfAiGRELSJ7X5nndMTJk6+Nif7Yh3tYNxT1BROovIfkqO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2022-01-27T13:17:00Z</dcterms:created>
  <dc:creator>none</dc:creator>
</cp:coreProperties>
</file>