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ДОГОВОР О ЗАДАТКЕ 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г. Астрахань                                                                                                                           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  <w:rtl w:val="0"/>
        </w:rPr>
        <w:t xml:space="preserve"> «___» __________ 2022 г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Организатор торгов Конкурсный управляющий ООО «Энергосистема» (414042, г.Астрахань, ул.Мосина, д.1, ИНН 3018317501, ОГРН 1103023000190) Шкарупин Александр Вячеславович (400005, г. Волгоград, а/я 3, ИНН 344502900888, СНИЛС 193-383-476 02), член ААУ "ЦФОП АПК" (107031, г. Москва, ул. Б. Дмитровка, д.32, стр.1, ИНН 7707030411, ОГРН 1107799002057), действующий на основании Решения АС Астраханской области от 17.03.20210 по делу №А06-4952/2020, именуемый в дальнейшем «ПРОДАВЕЦ» с одной стороны, и ____________, именуемый в дальнейшем «Заявитель», с другой стороны, заключили настоящий договор о нижеследующем: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1.ПРЕДМЕТ ДОГОВОРА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1.1. В соответствии с условиями настоящего Договора Заявитель для участия в торгах открытых по составу участников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10% от цены лота,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2"/>
          <w:szCs w:val="22"/>
          <w:rtl w:val="0"/>
        </w:rPr>
        <w:t xml:space="preserve">установленной для определенного периода проведения торгов,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на расчетный счет, указанный в пункте 5 настоящего договора. Имущество к продаже, являющегося предметом залога АО «МИнБанк», и не обремененного залогом третьих лиц: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Лот №1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 </w:t>
      </w: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Имущество, являющегося предметом залога: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Закрытое распределительное устройство, назначение: нежилое, общей площадью 96,1 кв.м., этажность: 1, кадастровый номер: 30:12:040176:732, расположенное по адресу: г. Астрахань, Трусовский район, ул. Мосина, д. 1а; Котельная, назначение: нежилое, площадь общая 898,8 кв.м, инв.номер: 12:401:002:000009050, литер: 100, этажность: 2, расположенная по адресу: г. Астрахань, ул. Мосина, la; кадастровый (или условный) номер:30:12:040:176:683; Проходная, назначение: нежилое, площадь общая 14,7 кв.м, литер: 101, этажность: 1, расположенная по адресу: г. Астрахань, ул. Мосина, la, кадастровый (или условный) номер: 30:12:040176:685; Склад химических реагентов, назначение: нежилое, общей площадью 15,4 кв.м., этажность: 1, кадастровый номер: 30:12:040176:733, расположенный по адресу: г. Астрахань, Трусовский район, ул. Мосина, д. 1а; Право аренды земельного участка, категория земель: земли населенных пунктов, площадь общая 5 578 кв.м, расположенного по адресу: г. Астрахань, ул. Мосина, la, кадастровый номер: 30:12:04 0176:246; Резервуар подземный под ДТ 120 м куб; Резервуар подземный под ДТ 120 м куб-2; Резервуар подземный под ДТ 120 м куб-3; Резервуар подземный 10 м куб; Котел водогрейный RIM MAX 8000-6; Котел водогрейный RIM MAX 8000-5; Котел водогрейный RIM MAX 8000-4; Котел водогрейный RIM MAX 8000-3;- Котел водогрейный RIM MAX 8000-2; Котел водогрейный RIM MAX 8000; Насосная установка ГРАНФЛОУ 300 мм; Насосная установка ГРАНФЛОУ 400 мм;- Резервуар стальной V-100 м3; Ограда металлическая (Котельная); Кабельные линии 6кВ п/с Лесная (ГРУ); Кабельные линии ТЭЦ п/с Лесная (ГРУ); ЛЭП 6 кВ от ГРУ теплоэлектроцентрали до РУ - 4 насосной станции; Распределит-й газопровод среднего давления диам. 426 мм.,протяженностью 1575 м; - Теплотрасса 6-ого микрорайона, инв. номер: 70; Дымовая труба 3 стволовая Н-28 м; Барабан-фильтр; Барабан-фильтр 1; Барабан-фильтр 2; Барабан-фильтр 3; Вакуумный насос ВВН-12; Водоприемник; Водоразборник; Задвижка d350 мм; Задвижка d600 мм; Задвижка d500 мм; Задвижка d500 мм 1; Задвижка d800 мм; Камера распред. насосной станции; Комплекс узла учета газа на базе SuperFilo-IIE; Кран балка; Кран мостовой; Насос СШ-200-500С; Насосная установка 20 НДС; Насосная установка 32-Д-19; Насосная установка с центроб. насосом 12 НДС; Насосная установка с центроб. насосом 12 НДС; Насосная установка с центробеж. насосом 14 Д-6М; Промышленный водопровод, d 800; Противопожарный водопровод, d400; Резервуар 1000м куб. ; Резервуар 1000куб.м.-1; Трубопровод хозпитьевой воды; Шкаф управления; Компрессор К-25М; Емкость V 350 м. куб; Емкость V-105 м. куб.; Фильтр осветлительный; Пункт распределительный РУСН (ХВО); Оборудование химводоочистки; Оборудование химводоочистки; Трубопровод технический новый; Газогенераторная установка - 1, назначение: нежилое, общей площадью 49 кв.м., кадастровый номер: 30:12:040176:731, расположенная по адресу: г.Астрахань, Трусовский район, ул. Мосина, д. 1а; Газогенераторная установка - 2, назначение: нежилое, общей площадью 49 кв.м., кадастровый номер: 30:12:040176:728, расположенная по адресу: г.Астрахань, Трусовский район, ул. Мосина, д. 1а; Газогенераторная установка - З, назначение: нежилое, общей площадью 49 кв.м., кадастровый номер: 30:12:040176:729, расположенная по адресу: г.Астрахань, Трусовский район, ул. Мосина, д. 1а; Газогенераторная установка - 4, назначение: нежилое, общей площадью 49 кв.м., кадастровый номер: 30:12:040176:730, расположенная по адресу: г. Астрахань, Трусовский район, ул. Мосина, д. 1а.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Имущество, свободное от залога: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Административное здание ТЭЦ заводоуправления, назначение нежилое, площадь общая 1358,80 кв.м, этажность 4, адрес: г. Астрахань, ул. Мосина, la, литер строения 51, кадастровый номер 30:12:040176:273. Вид права: общая долевая собственность: ½; Автодорога, площадь общая 5187 кв.м., кадастровый номер 30:12:040176:513, Литер: LXII, адрес: г. Астрахань, ул. Мосина, la; Бетонная площадка, назначение нежилое, площадь общая 3151,30 кв.м., Литер: LX, адрес: г. Астрахань, ул. Мосина, la, кадастровый номер 30:12:040176:510; Гараж на 16 грузовых мест, назначение нежилое, площадь общая 685,00 кв.м., литер 36, этажность 1, адрес: г. Астрахань, ул. Мосина, la , кадастровый номер 30:12:040176:584; Здание ГРП, назначение нежилое, площадь общая 11,7 кв.м., Литер:30, этажность 1, кадастровый номер 30:12:040176:294; Здание ТЭЦ, назначение нежилое, площадь общая 3731,6 кв.м., Литер:12, этажность 3, кадастровый номер 30:12:040176:604; Здание химводоочистки, назначение нежилое, площадь общая 1658,6 к.м. Литер:14, этажность 3, адрес: г. Астрахань, Трусовский район, ул. Мосина, la, кадастровый номер 30:12:040176:580; Склад транспортного хозяйства, назначение нежилое, площадь общая 593,30 кв.м., Литер: 38, этажность:1, адрес: г. Астрахань, Трусовский район, ул. Мосина, la , кадастровый номер 30:12:040176:560; Земельный участок, категория земель: земли населенных пунктов – для эксплуатации производственной базы, площадь: 23902,00 кв.м., адрес: г. Астрахань, Трусовский район, ул. Мосина, la, кадастровый номер:30:12:040176:250. Вид права: общая долевая собственность: 9616/23902; Земельный участок, категория земель: земли населенных пунктов – для эксплуатации производственной базы, площадь: 1573 кв.м., адрес: г. Астрахань, Трусовский район, ул. Мосина, la, кадастровый номер:30:12:040176:0113; Земельный участок, категория земель: земли населенных пунктов – для эксплуатации производственной базы, площадь: 518 кв.м., адрес: г. Астрахань, Трусовский район, ул. Мосина, la, кадастровый номер:30:12:040176:0118; Земельный участок, категория земель: земли населенных пунктов – для эксплуатации производственной базы, площадь: 78 кв.м., адрес: г. Астрахань, Трусовский район, ул. Мосина, la, кадастровый номер:30:12:040176:0110; Земельный участок, категория земель: земли населенных пунктов – для эксплуатации производственной базы, площадь: 8227кв.м., адрес: г. Астрахань, Трусовский район, ул. Мосина, la, кадастровый номер:30:12:040176:0127;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Насосная станция 1,2 подъема, назначение нежилое, площадь общая 822,6 кв.м., литер:88, этажность 1, адрес: г. Астрахань, Трусовский район, ул. Мосина, la, кадастровый номер:30:12:040176:2308; Насосная установка 32-Д-19; Котел VITOMAX200HSM7SA-115; Котел VITOMAX200H№M74А-004; Агрегат Х 80-65-160 К-С-У2 эл.дв 15кВт/3000о/мин ОПИ в комплексе с КОФ.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торгов.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2. ПОРЯДОК ВНЕСЕНИЯ ЗАДАТКА</w:t>
      </w:r>
    </w:p>
    <w:p w:rsidR="00000000" w:rsidDel="00000000" w:rsidP="00000000" w:rsidRDefault="00000000" w:rsidRPr="00000000" w14:paraId="00000010">
      <w:pPr>
        <w:ind w:left="0"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2.1. Срок внесения задатка - не позднее даты и времени окончания приема заявок для соответствующего периода. Задаток должен поступить не позднее даты составления протокола об определении участников торгов. В назначении платежа заявитель указывает номер лота и наименование заявителя (для юридических лиц: наименования юридического лица; для физических лиц: фамилия, имя, отчество).</w:t>
      </w:r>
    </w:p>
    <w:p w:rsidR="00000000" w:rsidDel="00000000" w:rsidP="00000000" w:rsidRDefault="00000000" w:rsidRPr="00000000" w14:paraId="00000011">
      <w:pPr>
        <w:ind w:left="0" w:right="-3.188976377952031" w:firstLine="720"/>
        <w:jc w:val="both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2.2 При участии в торгах посредством публичного предложения Заявитель обязан обеспечить поступление задатка на счет, не позднее даты и времени окончания приема заявок на участие в торгах для соответствующего периода проведения торгов.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2"/>
          <w:szCs w:val="22"/>
          <w:rtl w:val="0"/>
        </w:rPr>
        <w:t xml:space="preserve">2.3.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является выписка с р/с должника, указанного в п. 5 настоящего Договора счета.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 ПОРЯДОК ВОЗВРАТА И УДЕРЖАНИЯ ЗАДАТКА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3.1. Задаток возвращается в случаях и в сроки, установленные п.п. 3.2 настоящего Договора, путем перечисления суммы внесенного задатка на указанный в договоре счет Заявителя. В случае изменения своих банковских реквизитов, Заявитель обязан незамедлительно информировать Организатора торгов обо всех изменениях. 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реквизитов.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3.2.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9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3.3. В случае отказа или уклонения победителя торгов от подписания договора купли-продажи в установленный срок, внесенный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купли-продажи имущества.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 СРОК ДЕЙСТВИЯ НАСТОЯЩЕГО ДОГОВОРА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</w:t>
      </w:r>
      <w:r w:rsidDel="00000000" w:rsidR="00000000" w:rsidRPr="00000000">
        <w:rPr>
          <w:sz w:val="22"/>
          <w:szCs w:val="22"/>
          <w:rtl w:val="0"/>
        </w:rPr>
        <w:t xml:space="preserve">Астраханской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области в соответствии с действующим законодательством Российской Федерации.</w:t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4.3. Настоящий Договор составлен в двух экземплярах, имеющих одинаковую юридическую силу, по одному для каждой из Сторон.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5. МЕСТО НАХОЖДЕНИЯ И БАНКОВСКИЕ РЕКВИЗИТЫ СТОРОН</w:t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Продавец: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Шкарупин Александр Вячеславович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ИНН 344502900888, СНИЛС 193-383-476 02</w:t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400005, г. Волгоград, а/я 3, тел. 89880019613, эл.почта: aleksandr-7-7@rambler.ru.</w:t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Счет № 40702810511000008330 в Волгоградском отделении №8621 ПАО Сбербанк</w:t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БИК банка 041806647, кор.сч. 30101810100000000647,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Получатель: ООО «Энергосистема» (ИНН 3018317501).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Конкурсный управляющий ____________________ /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highlight w:val="white"/>
          <w:u w:val="none"/>
          <w:vertAlign w:val="baseline"/>
          <w:rtl w:val="0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Шкарупин А.В. </w:t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Заявитель: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__________________________</w:t>
      </w:r>
    </w:p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Реквизиты для возврата задатка:</w:t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______________________/_______________</w:t>
      </w:r>
    </w:p>
    <w:sectPr>
      <w:pgSz w:h="16838" w:w="11906" w:orient="portrait"/>
      <w:pgMar w:bottom="709" w:top="719" w:left="851" w:right="567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paragraph" w:styleId="СтандартныйHTML">
    <w:name w:val="Стандартный HTML"/>
    <w:basedOn w:val="Обычный"/>
    <w:next w:val="СтандартныйHTML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hAnsi="Courier New"/>
      <w:w w:val="100"/>
      <w:position w:val="-1"/>
      <w:sz w:val="20"/>
      <w:szCs w:val="20"/>
      <w:effect w:val="none"/>
      <w:vertAlign w:val="baseline"/>
      <w:cs w:val="0"/>
      <w:em w:val="none"/>
      <w:lang w:bidi="ar-SA" w:eastAsia="und" w:val="und"/>
    </w:rPr>
  </w:style>
  <w:style w:type="character" w:styleId="СтандартныйHTMLЗнак">
    <w:name w:val="Стандартный HTML Знак"/>
    <w:next w:val="СтандартныйHTMLЗнак"/>
    <w:autoRedefine w:val="0"/>
    <w:hidden w:val="0"/>
    <w:qFormat w:val="0"/>
    <w:rPr>
      <w:rFonts w:ascii="Courier New" w:cs="Times New Roman" w:hAnsi="Courier New"/>
      <w:w w:val="100"/>
      <w:position w:val="-1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"/>
      <w:szCs w:val="20"/>
      <w:effect w:val="none"/>
      <w:vertAlign w:val="baseline"/>
      <w:cs w:val="0"/>
      <w:em w:val="none"/>
      <w:lang w:bidi="ar-SA" w:eastAsia="und" w:val="und"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w w:val="100"/>
      <w:position w:val="-1"/>
      <w:sz w:val="2"/>
      <w:effect w:val="none"/>
      <w:vertAlign w:val="baseline"/>
      <w:cs w:val="0"/>
      <w:em w:val="none"/>
      <w:lang/>
    </w:rPr>
  </w:style>
  <w:style w:type="paragraph" w:styleId="BodyTextIndent21">
    <w:name w:val="Body Text Indent 21"/>
    <w:basedOn w:val="Обычный"/>
    <w:next w:val="BodyTextIndent21"/>
    <w:autoRedefine w:val="0"/>
    <w:hidden w:val="0"/>
    <w:qFormat w:val="0"/>
    <w:pPr>
      <w:suppressAutoHyphens w:val="1"/>
      <w:spacing w:line="228" w:lineRule="auto"/>
      <w:ind w:leftChars="-1" w:rightChars="0" w:firstLine="708" w:firstLineChars="-1"/>
      <w:jc w:val="both"/>
      <w:textDirection w:val="btLr"/>
      <w:textAlignment w:val="top"/>
      <w:outlineLvl w:val="0"/>
    </w:pPr>
    <w:rPr>
      <w:b w:val="1"/>
      <w:i w:val="1"/>
      <w:w w:val="100"/>
      <w:position w:val="-1"/>
      <w:sz w:val="24"/>
      <w:szCs w:val="20"/>
      <w:effect w:val="none"/>
      <w:vertAlign w:val="baseline"/>
      <w:cs w:val="0"/>
      <w:em w:val="none"/>
      <w:lang w:bidi="ar-SA" w:eastAsia="ru-RU" w:val="ru-RU"/>
    </w:rPr>
  </w:style>
  <w:style w:type="character" w:styleId="Гиперссылка">
    <w:name w:val="Гиперссылка"/>
    <w:next w:val="Гиперссылка"/>
    <w:autoRedefine w:val="0"/>
    <w:hidden w:val="0"/>
    <w:qFormat w:val="0"/>
    <w:rPr>
      <w:color w:val="0000ff"/>
      <w:w w:val="100"/>
      <w:position w:val="-1"/>
      <w:u w:val="single"/>
      <w:effect w:val="none"/>
      <w:vertAlign w:val="baseline"/>
      <w:cs w:val="0"/>
      <w:em w:val="none"/>
      <w:lang/>
    </w:rPr>
  </w:style>
  <w:style w:type="paragraph" w:styleId="Абзацсписка">
    <w:name w:val="Абзац списка"/>
    <w:basedOn w:val="Обычный"/>
    <w:next w:val="Абзацсписка"/>
    <w:autoRedefine w:val="0"/>
    <w:hidden w:val="0"/>
    <w:qFormat w:val="0"/>
    <w:pPr>
      <w:suppressAutoHyphens w:val="1"/>
      <w:spacing w:line="1" w:lineRule="atLeast"/>
      <w:ind w:left="720" w:leftChars="-1" w:rightChars="0" w:firstLineChars="-1"/>
      <w:contextualSpacing w:val="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Безинтервала">
    <w:name w:val="Без интервала"/>
    <w:next w:val="Безинтервала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Замещающийтекст1">
    <w:name w:val="Замещающий текст1"/>
    <w:next w:val="Замещающийтекст1"/>
    <w:autoRedefine w:val="0"/>
    <w:hidden w:val="0"/>
    <w:qFormat w:val="0"/>
    <w:rPr>
      <w:color w:val="808080"/>
      <w:w w:val="100"/>
      <w:position w:val="-1"/>
      <w:effect w:val="none"/>
      <w:vertAlign w:val="baseline"/>
      <w:cs w:val="0"/>
      <w:em w:val="none"/>
      <w:lang/>
    </w:rPr>
  </w:style>
  <w:style w:type="paragraph" w:styleId="Default">
    <w:name w:val="Default"/>
    <w:next w:val="Default"/>
    <w:autoRedefine w:val="0"/>
    <w:hidden w:val="0"/>
    <w:qFormat w:val="0"/>
    <w:pPr>
      <w:suppressAutoHyphens w:val="1"/>
      <w:autoSpaceDE w:val="0"/>
      <w:autoSpaceDN w:val="0"/>
      <w:adjustRightInd w:val="0"/>
      <w:spacing w:line="1" w:lineRule="atLeast"/>
      <w:ind w:leftChars="-1" w:rightChars="0" w:firstLineChars="-1"/>
      <w:textDirection w:val="btLr"/>
      <w:textAlignment w:val="top"/>
      <w:outlineLvl w:val="0"/>
    </w:pPr>
    <w:rPr>
      <w:color w:val="000000"/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character" w:styleId="Основнойтекст1">
    <w:name w:val="Основной текст1"/>
    <w:next w:val="Основнойтекст1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styleId="highlight5">
    <w:name w:val="highlight5"/>
    <w:next w:val="highlight5"/>
    <w:autoRedefine w:val="0"/>
    <w:hidden w:val="0"/>
    <w:qFormat w:val="0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  <w:lang/>
    </w:rPr>
  </w:style>
  <w:style w:type="character" w:styleId="Основнойтекст+9pt">
    <w:name w:val="Основной текст + 9 pt"/>
    <w:next w:val="Основнойтекст+9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styleId="Основнойтекст+6pt">
    <w:name w:val="Основной текст + 6 pt"/>
    <w:next w:val="Основнойтекст+6pt"/>
    <w:autoRedefine w:val="0"/>
    <w:hidden w:val="0"/>
    <w:qFormat w:val="0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Обычный(веб)">
    <w:name w:val="Обычный (веб)"/>
    <w:basedOn w:val="Обычный"/>
    <w:next w:val="Обычный(веб)"/>
    <w:autoRedefine w:val="0"/>
    <w:hidden w:val="0"/>
    <w:qFormat w:val="1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aL9pmC+wqWKDVVChyc6rcLoHRQ==">AMUW2mWLycpGPekM/p6gvmS+LtvcFo5DHQADc4/CuImsBCZXRjOubKWRsZ3EOC4wR3EqsJDUMBtqb/YtOsUk/x/jBO94zfgxnkDRY1z4RRtkfpSHam7eOFI=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2021-02-13T11:03:00Z</dcterms:created>
  <dc:creator>none</dc:creator>
</cp:coreProperties>
</file>