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ind w:left="3828" w:firstLine="0"/>
        <w:jc w:val="righ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Приложение № 1</w:t>
      </w:r>
    </w:p>
    <w:p w:rsidR="00000000" w:rsidDel="00000000" w:rsidP="00000000" w:rsidRDefault="00000000" w:rsidRPr="00000000" w14:paraId="00000002">
      <w:pPr>
        <w:spacing w:after="0" w:line="240" w:lineRule="auto"/>
        <w:ind w:left="3828" w:firstLine="0"/>
        <w:jc w:val="righ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полный перечень имущества </w:t>
      </w:r>
    </w:p>
    <w:p w:rsidR="00000000" w:rsidDel="00000000" w:rsidP="00000000" w:rsidRDefault="00000000" w:rsidRPr="00000000" w14:paraId="00000003">
      <w:pPr>
        <w:spacing w:after="0" w:line="240" w:lineRule="auto"/>
        <w:ind w:left="3828" w:firstLine="0"/>
        <w:jc w:val="righ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должника ООО «РОСС»</w:t>
      </w:r>
    </w:p>
    <w:p w:rsidR="00000000" w:rsidDel="00000000" w:rsidP="00000000" w:rsidRDefault="00000000" w:rsidRPr="00000000" w14:paraId="00000004">
      <w:pPr>
        <w:spacing w:after="0" w:line="240" w:lineRule="auto"/>
        <w:ind w:left="3828" w:firstLine="0"/>
        <w:jc w:val="right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ОГРН 1113711001502 </w:t>
      </w:r>
    </w:p>
    <w:p w:rsidR="00000000" w:rsidDel="00000000" w:rsidP="00000000" w:rsidRDefault="00000000" w:rsidRPr="00000000" w14:paraId="00000005">
      <w:pPr>
        <w:spacing w:after="0" w:line="240" w:lineRule="auto"/>
        <w:ind w:left="3828" w:firstLine="0"/>
        <w:jc w:val="right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ИНН 3711029595</w:t>
      </w:r>
    </w:p>
    <w:p w:rsidR="00000000" w:rsidDel="00000000" w:rsidP="00000000" w:rsidRDefault="00000000" w:rsidRPr="00000000" w14:paraId="00000006">
      <w:pPr>
        <w:spacing w:after="0" w:line="240" w:lineRule="auto"/>
        <w:ind w:left="3828" w:firstLine="0"/>
        <w:jc w:val="right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(сообщение о ПСУП на сайте </w:t>
      </w:r>
    </w:p>
    <w:p w:rsidR="00000000" w:rsidDel="00000000" w:rsidP="00000000" w:rsidRDefault="00000000" w:rsidRPr="00000000" w14:paraId="00000007">
      <w:pPr>
        <w:spacing w:after="0" w:line="240" w:lineRule="auto"/>
        <w:ind w:left="3828" w:firstLine="0"/>
        <w:jc w:val="right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ЕФРСБ №14556440 от 04.06.2024)</w:t>
      </w:r>
    </w:p>
    <w:p w:rsidR="00000000" w:rsidDel="00000000" w:rsidP="00000000" w:rsidRDefault="00000000" w:rsidRPr="00000000" w14:paraId="00000008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ЛОТ № 1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0A">
      <w:pPr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А) Перечень имущества ООО «РОСС», подлежащего реализации и являющегося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предметом залога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Бородулина Валерия Николаевича:</w:t>
      </w:r>
    </w:p>
    <w:tbl>
      <w:tblPr>
        <w:tblStyle w:val="Table1"/>
        <w:tblW w:w="9210.0" w:type="dxa"/>
        <w:jc w:val="center"/>
        <w:tblLayout w:type="fixed"/>
        <w:tblLook w:val="0400"/>
      </w:tblPr>
      <w:tblGrid>
        <w:gridCol w:w="705"/>
        <w:gridCol w:w="7386"/>
        <w:gridCol w:w="1119.0000000000005"/>
        <w:tblGridChange w:id="0">
          <w:tblGrid>
            <w:gridCol w:w="705"/>
            <w:gridCol w:w="7386"/>
            <w:gridCol w:w="1119.0000000000005"/>
          </w:tblGrid>
        </w:tblGridChange>
      </w:tblGrid>
      <w:tr>
        <w:trPr>
          <w:cantSplit w:val="0"/>
          <w:trHeight w:val="43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95b3d7" w:val="clear"/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95b3d7" w:val="clear"/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Объект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5b3d7" w:val="clear"/>
            <w:vAlign w:val="bottom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Количество, ед.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Земельный участок с/х назначения, Общая площадь 1 245 161,00 м2, Кадастровый номер 37:16:030908:127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Коровник на 400 голов, Общая площадь 3 670,80 м2, Кадастровый номер 37:16:030908:137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Соединительная галерея, Общая площадь 112,80 м2, Кадастровый номер 37:16:030908:134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Здание доильно-молочного блока и родильного отделения, Общая площадь 2 736,00 м2, Кадастровый номер 37:16:030908:135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Отапливаемый дезбарьер с электроподогревом, Общая площадь 72,00 м2, Кадастровый номер 37:16:030908:138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95.0000000000000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Переходная галерея, Общая площадь 42,4 м2, Кадастровый номер 37:16:030908:279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95.0000000000000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Коровник на 400 голов, Общая площадь 3 676,1 м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, Кадастровый номер 37:16:030908:271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95.0000000000000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Переходная галерея, Общая площадь 112,8 м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, Кадастровый номер 37:16:030908:274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95.0000000000000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Переходная галерея, Общая площадь 112,1 м2, Кадастровый номер 37:16:030908:285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Здание для телок, нетелей и сухостойных коров, Общая площадь 3 676,1 м2, Кадастровый номер 37:16:030908:272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Здание для телят, Общая площадь 3 191,6 м2, Кадастровый номер 37:16:030908:275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Нежилое здание (котельная), Общая площадь 18 м2, Кадастровый номер 37:16:030908:261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197.983186141304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Неотапливаемый дезбарьер, Общая площадь 48,8 м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, Кадастровый номер 37:16:030908:287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Сооружение животноводства (Ветеринарно- профилактический пункт), Общая площадь 480,2 м2 , Кадастровый номер 37:16:030908:264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4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Сооружение животноводства (Санитарный пропускник), Общая площадь 206,3 м2, Кадастровый номер 37:16:030908:265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4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Сооружение животноводства (Убойная площадка), Общая площадь 74,3 м2, Кадастровый номер 37:16:030908:266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Неотапливаемый дезбарьер, Общая площадь 48,6 м2, Кадастровый номер 37:16:030908:278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4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Силосно-сенажные траншеи, Общая площадь 1 500,00 м2, Кадастровый номер 37:16:030908:136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Предлагуна, Общая площадь 126,00 м2, Кадастровый номер 37:16:030908:140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33.1428571428571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Лагуна закрытого типа, Общая площадь 2 233,4 м2, Кадастровый номер 37:16:030908:276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Лагуна закрытого типа, Общая площадь 2 228,3 м2, Кадастровый номер 37:16:030908:277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Лагуна закрытого типа, Общая площадь 2 256,2 м2, Кадастровый номер 37:16:030908:282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Лагуна закрытого типа, Общая площадь 2 177,8 м2, Кадастровый номер 37:16:030908:283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Силосно-сенажная траншея, Общая площадь 1526,5 м2, Кадастровый номер 37:16:030908:280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4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Сооружение животноводства (Рампа), Общая площадь 11,8 м2, Кадастровый номер 37:16:030908:262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Площадка по автовесы, Общая площадь 85,5 м2, Кадастровый номер 37:16:030908:281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Площадка по автовесы, Общая площадь 85,2 м2, Кадастровый номер 37:16:030908:270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Парковка на 14 м/м, Общая площадь 297,6 м2, Кадастровый номер 37:16:030908:273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Силосно-сенажная траншея, Общая площадь 1521,9 м2, Кадастровый номер 37:16:030908:284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Силосно-сенажная траншея, Общая площадь 1522,8 м2, Кадастровый номер 37:16:030908:286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Наружные электрические сети, 1 компл.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Наружное электроосвещение, 1 компл.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4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Доильный зал "Параллель" 2х16 мест, в т.ч. станковое оборудование для доильного зала (Греция)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Танк-охладитель молока FRIGOMILK 9 5000 л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Танк-охладитель молока FRIGOMILK 9 5000 л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Танк-охладитель молока FRIGOMILK 9 2000 л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Поилка SUEVIA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Транспортёр шнековый горизонтальный ТШГ-250 (инв. №000000043)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Транспортёр скреперный горизонтальный ТСГ-250 (3 комплекта) (инв. №000000042)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4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Оборудование для беспривязного содержания животных ОСБ 01.00 на 464 скотомест (инв. №000000039)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Калитка телескопическая (42 комплекта) (инв. №000000046)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Ограждение кормового стола (324 комплекта) (инв. №000000041)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Ограждение скотопрогонов (4 комплекта) (инв. №000000048)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Ограждение технологических групп (2 комплекта) (инв. №000000045)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4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Оборудование системы поения с подогревом для КРС ОПсП00.01 (3 комплекта) (инв. №000000047)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Транспортёр навозоуборочный ТСН- 160А(3 комплекта)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Ограждение технологические трехтрубные, 92 п.м.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Калитка телескопическая одинарная 1150-1500 мм (1470 мм) Предлагуна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Напольный мат Пассаж, 117,3 м2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Решетки на канал навозоудаления, 23 м.п.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Горизонтальный шнек навозоудаления ТШН-260 (2 зд.)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Ограждение технологические трехтрубные, 72 м.п.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Калитка телескопическая одинарная 1150-1500 мм (1470 мм) Предлагуна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Напольный мат Пассаж, 92 м2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Решетки на канал навозоудаления, 18 м.п.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Ограждение технологические трехтрубные, 72 м.п.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Калитка телескопическая одинарная 1150-1500 мм (1470 мм) Предлагуна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Напольный мат Пассаж, 92 п.м.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Решетки на канал навозоудаления, 18 п.м.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Установка для перемешивания и выгрузки осветленной фракции в лагунах закрытого типа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Стойловый бокс одинарный 1900 мм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160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Замыкающий элемент одинарного стойло-места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Стойловый бокс двойной 1900 мм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124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Замыкающий элемент двойного стойло-места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Калитка телескопическая одинарная 1150 - 1500 мм (1420 мм)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Калитка телескопическая одинарная 1150 - 1500 мм (1470 мм)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24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Калитка телескопическая одинарная 1500 - 2000 мм (1860 мм)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24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Калитка телескопическая одинарная 2000 - 2500 мм (2100 мм)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Калитка телескопическая одинарная 3500 - 4000 мм (3500 мм)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Калитка телескопическая одинарная 3500 - 4000 мм (4000 мм)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Держатель грудного упора, 432 п.м.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Доска (подгрудная, кормовой стол)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408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Ограждение кормового стола, 216 п.м.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Ограждение технологические трехтрубные, 84 п.м.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Комби скреперная установка ТСГ-250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Электронный блок управления ТСГ-250 "ТЕКО" таймер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Решетки на канал навозоудаления, 32,2 п.м.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Резиновый мат на лежаки Релакс 1830*1200*30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418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Поилки с подогревом пластиковая 2 м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Устройство помещения для поения с приямком (колодцем)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Циркуляционный насос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Напольный мат Пассаж, 1790 м2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Шторы/окна поликарбоната 1,15*18 м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Стойловый бокс одинарный 1900 мм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160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Замыкающий элемент одинарного стойло-места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Стойловый бокс двойной 1900 мм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124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Замыкающий элемент двойного стойло-места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Калитка телескопическая одинарная 1150 - 1500 мм (1420 мм)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Калитка телескопическая одинарная 1150 - 1500 мм (1470 мм)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24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Калитка телескопическая одинарная 1500 - 2000 мм (1860 мм)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24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Калитка телескопическая одинарная 2000 - 2500 мм (2100 мм)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Калитка телескопическая одинарная 3500 - 4000 мм (3500 мм)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Калитка телескопическая одинарная 3500 - 4000 мм (4000 мм)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Держатель грудного упора, 432 п.м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Доска (подгрудная, кормовой стол)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408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Ограждение кормового стола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216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Ограждение технологические трехтрубные, 84 п. м.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Комби скреперная установка ТСГ-250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Электронный блок управления ТСГ-250 "ТЕКО" таймер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Решетки на канал навозоудаления, 32,2 м.п.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Резиновый мат на лежаки Релакс 1830*1200*30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418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Поилки с подогревом пластиковая 2 м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Устройство помещения для поения с приямком (колодцем)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Циркуляционный насос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Напольный мат Пасаж, 1790 м2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Шторы/окна поликарбоната 1,15*18 м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Устройство клеток групповых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Доска (подгрудная, кормовой стол)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408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Ограждение кормового стола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216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Комби скреперная установка ТСГ-250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Электронный блок управления ТСГ-250 "ТЕКО" таймер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Решетки на канал навозоудаления, 27 п.м.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Коврики ласточкин хвост, 688 м2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Поилки SUEVIA модель 61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62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Устройство помещения для поения с приямком (колодцем)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Циркуляционный насос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Калитка одинарная кормонавозного канала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84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Оборудование НВК, (векса, предочисные сооружения), 1 компл.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Плуг оборотный НПО 6-40-01 (5+1)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Сеялка СРЗ-Т-5,4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Паллада 6000, борона дисковая прицепная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</w:tbl>
    <w:p w:rsidR="00000000" w:rsidDel="00000000" w:rsidP="00000000" w:rsidRDefault="00000000" w:rsidRPr="00000000" w14:paraId="00000179">
      <w:pPr>
        <w:jc w:val="both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jc w:val="both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Б) Перечень имущества ООО «РОСС», подлежащего реализации и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не являющегося предметом залога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:</w:t>
      </w:r>
    </w:p>
    <w:tbl>
      <w:tblPr>
        <w:tblStyle w:val="Table2"/>
        <w:tblW w:w="9255.0" w:type="dxa"/>
        <w:jc w:val="center"/>
        <w:tblLayout w:type="fixed"/>
        <w:tblLook w:val="0400"/>
      </w:tblPr>
      <w:tblGrid>
        <w:gridCol w:w="705"/>
        <w:gridCol w:w="7386"/>
        <w:gridCol w:w="1164.0000000000005"/>
        <w:tblGridChange w:id="0">
          <w:tblGrid>
            <w:gridCol w:w="705"/>
            <w:gridCol w:w="7386"/>
            <w:gridCol w:w="1164.0000000000005"/>
          </w:tblGrid>
        </w:tblGridChange>
      </w:tblGrid>
      <w:tr>
        <w:trPr>
          <w:cantSplit w:val="0"/>
          <w:trHeight w:val="50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bdd7ee" w:val="clear"/>
            <w:vAlign w:val="center"/>
          </w:tcPr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№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bdd7ee" w:val="clear"/>
            <w:vAlign w:val="center"/>
          </w:tcPr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Объект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dd7ee" w:val="clear"/>
            <w:vAlign w:val="bottom"/>
          </w:tcPr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Количество, ед.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Сеялка СУПН-8 вентиляторная (СУ-8), БП-000183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2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Опрыскиватель навесной штанговый ОНШ 600/12, БП-000219 (инв. №00069)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Борона зубовая 24-х секционная б/у, БП-000231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Кормораздатчик RBS, б/у, БП-000233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Ковш 1,5м3 КУН-2000-3, БП-000247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Плуг оборотный ППО 8-40-01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2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Система видеонаблюдения, 00-000209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Косилка роторная КРН-2,4, 00-000050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2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Пресс-подборщик ПРФ-145П, 00-000051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Пресс-подборщик ПРФ-145П (2), 00-000052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Весы механические ВТ 8908-2000Д, 00-000141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Дробилка ДПМ-11, 00-000142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Смеситель СВШ-2,2Ш, 00-000357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2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Дизель-генератор АД-100 Т-400, 00-000254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Поилка для телят, 00-000003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Полуприцеп-цистерна тракторный ЛКТ-4В (вакуумный), 00-000261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Прицеп-рама 123787, 00-000164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Прицеп самосвальный 2ПТС-6,5, 00-000002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2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Выгульная площадка, 00-000242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Фекальная емкость, 00-000271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Трансформаторная подстанция, 00-000201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Прицеп РА6790 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Прицеп РА0313 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2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Навозоразбрасыватель 9664 НЕ 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Котел дровяной (в здании котельной)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Система отопления с 3 -мя насосами (в здании котельной)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Измельчитель соломы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Емкость из полипропилена 5 000 л. В металлической обрешетке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2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ПСТ - 6 (прицеп самосвальный)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Плуг необоротный 5-ти корпусной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Культиватор блочно-модульный -8ПС синий со стрельчатыми лапами и прикатывающим катком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Калитки 2500-3000 мм (2800 мм)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</w:tr>
      <w:tr>
        <w:trPr>
          <w:cantSplit w:val="0"/>
          <w:trHeight w:val="22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Калитки 2500-3000 мм (3000 мм)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КАМАЗ 541120 в517ск33 (самосвал), 00-000183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ГАЗ 2705 (Газель), 00-000163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Трактор Беларус -1221.2 (ЧЛМЗ), 00-000013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Трактор Беларус -1221.2, зав.№12002246, дв.№069724, 00-000139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2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ЗИЛ 45021, государственный регистрационный знак Х 219 АХ 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УРАЛ 5557, государственный регистрационный знак Н 423 ВО 37, VIN ХТР555700К0018454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А 349-30, государственный регистрационный знак РА 9934 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42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ГАЗ 3307 АЦ 4.9, государственный регистрационный знак Н 204 МН 37, VIN XTH330700N1497296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ГАЗ 3307, государственный регистрационный знак Х 275 АО 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ГАЗ 33023 государственный регистрационный знак О 867 АМ 37, VIN ХТН33023011819192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Компьютер (системный блок Dell, монитор Viewsonic V3D245, клавиатура, мышь)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2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Ноутбук Lenovo Idtipad S540 14API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Дебиторская задолженность ООО «Технопарк»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2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Дебиторская задолженность АФ «Заречье»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2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Дебиторская задолженность ООО «Околица»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Дебиторская задолженность ООО «Аксмол»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2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Дебиторская задолженность ООО «Милтрэйд»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Дебиторская задолженность ОАО «Фурмановский гормолзавод»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2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Дебиторская задолженность СПК колхоз «Горячевский»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2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Дебиторская задолженность ООО «ГК Групп Агро»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2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Дебиторская задолженность ООО «Ивмолокопродукт»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2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Дебиторская задолженность Филиал «Молочный комбинат «Чеховский» АО «Данон России» (АО «Эйч энд Эн»)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</w:tbl>
    <w:p w:rsidR="00000000" w:rsidDel="00000000" w:rsidP="00000000" w:rsidRDefault="00000000" w:rsidRPr="00000000" w14:paraId="00000223">
      <w:pPr>
        <w:jc w:val="both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spacing w:after="0" w:line="240" w:lineRule="auto"/>
        <w:ind w:firstLine="539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5">
      <w:pPr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Согласно пп. 15 п. 2 статьи 146 НК РФ, операции по реализации товаров (работ, услуг) и (или) имущественных прав должников, признанных в соответствии с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0000ff"/>
            <w:sz w:val="20"/>
            <w:szCs w:val="20"/>
            <w:rtl w:val="0"/>
          </w:rPr>
          <w:t xml:space="preserve">законодательством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Российской Федерации несостоятельными (банкротами), в том числе товаров (работ, услуг), изготовленных и (или) приобретенных (выполненных, оказанных) в процессе осуществления хозяйственной деятельности после признания должников в соответствии с законодательством Российской Федерации несостоятельными (банкротами), не признаются объектом налогообложения. В этой связи, НДС не облагается.</w:t>
      </w:r>
    </w:p>
    <w:p w:rsidR="00000000" w:rsidDel="00000000" w:rsidP="00000000" w:rsidRDefault="00000000" w:rsidRPr="00000000" w14:paraId="00000226">
      <w:pPr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7">
      <w:pPr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1134" w:top="708.6614173228347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i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4B28EA"/>
  </w:style>
  <w:style w:type="paragraph" w:styleId="1">
    <w:name w:val="heading 1"/>
    <w:basedOn w:val="a"/>
    <w:next w:val="a"/>
    <w:link w:val="10"/>
    <w:uiPriority w:val="9"/>
    <w:qFormat w:val="1"/>
    <w:rsid w:val="00672E87"/>
    <w:pPr>
      <w:keepNext w:val="1"/>
      <w:keepLines w:val="1"/>
      <w:spacing w:after="0" w:before="240"/>
      <w:outlineLvl w:val="0"/>
    </w:pPr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 w:val="1"/>
    <w:unhideWhenUsed w:val="1"/>
    <w:qFormat w:val="1"/>
    <w:rsid w:val="00895F14"/>
    <w:pPr>
      <w:keepNext w:val="1"/>
      <w:keepLines w:val="1"/>
      <w:spacing w:after="0" w:before="40"/>
      <w:outlineLvl w:val="2"/>
    </w:pPr>
    <w:rPr>
      <w:rFonts w:asciiTheme="majorHAnsi" w:cstheme="majorBidi" w:eastAsiaTheme="majorEastAsia" w:hAnsiTheme="majorHAnsi"/>
      <w:color w:val="1f4d78" w:themeColor="accent1" w:themeShade="0000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 w:val="1"/>
    <w:unhideWhenUsed w:val="1"/>
    <w:qFormat w:val="1"/>
    <w:rsid w:val="00B233B9"/>
    <w:pPr>
      <w:keepNext w:val="1"/>
      <w:keepLines w:val="1"/>
      <w:spacing w:after="0" w:before="40"/>
      <w:outlineLvl w:val="3"/>
    </w:pPr>
    <w:rPr>
      <w:rFonts w:asciiTheme="majorHAnsi" w:cstheme="majorBidi" w:eastAsiaTheme="majorEastAsia" w:hAnsiTheme="majorHAnsi"/>
      <w:i w:val="1"/>
      <w:iCs w:val="1"/>
      <w:color w:val="2e74b5" w:themeColor="accent1" w:themeShade="0000BF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11" w:customStyle="1">
    <w:name w:val="Текст1"/>
    <w:basedOn w:val="a"/>
    <w:rsid w:val="00043A18"/>
    <w:pPr>
      <w:spacing w:after="0" w:before="120" w:line="240" w:lineRule="auto"/>
    </w:pPr>
    <w:rPr>
      <w:rFonts w:ascii="Courier New" w:cs="Times New Roman" w:eastAsia="Times New Roman" w:hAnsi="Courier New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unhideWhenUsed w:val="1"/>
    <w:rsid w:val="00B233B9"/>
    <w:pPr>
      <w:tabs>
        <w:tab w:val="center" w:pos="4677"/>
        <w:tab w:val="right" w:pos="9355"/>
      </w:tabs>
      <w:spacing w:after="0" w:line="240" w:lineRule="auto"/>
    </w:pPr>
  </w:style>
  <w:style w:type="character" w:styleId="a4" w:customStyle="1">
    <w:name w:val="Верхний колонтитул Знак"/>
    <w:basedOn w:val="a0"/>
    <w:link w:val="a3"/>
    <w:uiPriority w:val="99"/>
    <w:rsid w:val="00B233B9"/>
  </w:style>
  <w:style w:type="paragraph" w:styleId="a5">
    <w:name w:val="footer"/>
    <w:basedOn w:val="a"/>
    <w:link w:val="a6"/>
    <w:uiPriority w:val="99"/>
    <w:unhideWhenUsed w:val="1"/>
    <w:rsid w:val="00B233B9"/>
    <w:pPr>
      <w:tabs>
        <w:tab w:val="center" w:pos="4677"/>
        <w:tab w:val="right" w:pos="9355"/>
      </w:tabs>
      <w:spacing w:after="0" w:line="240" w:lineRule="auto"/>
    </w:pPr>
  </w:style>
  <w:style w:type="character" w:styleId="a6" w:customStyle="1">
    <w:name w:val="Нижний колонтитул Знак"/>
    <w:basedOn w:val="a0"/>
    <w:link w:val="a5"/>
    <w:uiPriority w:val="99"/>
    <w:rsid w:val="00B233B9"/>
  </w:style>
  <w:style w:type="character" w:styleId="40" w:customStyle="1">
    <w:name w:val="Заголовок 4 Знак"/>
    <w:basedOn w:val="a0"/>
    <w:link w:val="4"/>
    <w:rsid w:val="00B233B9"/>
    <w:rPr>
      <w:rFonts w:asciiTheme="majorHAnsi" w:cstheme="majorBidi" w:eastAsiaTheme="majorEastAsia" w:hAnsiTheme="majorHAnsi"/>
      <w:i w:val="1"/>
      <w:iCs w:val="1"/>
      <w:color w:val="2e74b5" w:themeColor="accent1" w:themeShade="0000BF"/>
    </w:rPr>
  </w:style>
  <w:style w:type="character" w:styleId="a7">
    <w:name w:val="Hyperlink"/>
    <w:uiPriority w:val="99"/>
    <w:rsid w:val="00B233B9"/>
    <w:rPr>
      <w:color w:val="0000ff"/>
      <w:u w:val="single"/>
    </w:rPr>
  </w:style>
  <w:style w:type="paragraph" w:styleId="12">
    <w:name w:val="toc 1"/>
    <w:basedOn w:val="a"/>
    <w:next w:val="a"/>
    <w:autoRedefine w:val="1"/>
    <w:uiPriority w:val="39"/>
    <w:unhideWhenUsed w:val="1"/>
    <w:qFormat w:val="1"/>
    <w:rsid w:val="00B233B9"/>
    <w:pPr>
      <w:spacing w:after="120" w:before="120" w:line="240" w:lineRule="auto"/>
    </w:pPr>
    <w:rPr>
      <w:rFonts w:ascii="Calibri" w:cs="Times New Roman" w:eastAsia="Times New Roman" w:hAnsi="Calibri"/>
      <w:b w:val="1"/>
      <w:bCs w:val="1"/>
      <w:caps w:val="1"/>
      <w:sz w:val="20"/>
      <w:szCs w:val="20"/>
      <w:lang w:eastAsia="ru-RU"/>
    </w:rPr>
  </w:style>
  <w:style w:type="character" w:styleId="10" w:customStyle="1">
    <w:name w:val="Заголовок 1 Знак"/>
    <w:basedOn w:val="a0"/>
    <w:link w:val="1"/>
    <w:uiPriority w:val="9"/>
    <w:rsid w:val="00672E87"/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paragraph" w:styleId="a8" w:customStyle="1">
    <w:name w:val="Табл.Верх"/>
    <w:link w:val="a9"/>
    <w:qFormat w:val="1"/>
    <w:rsid w:val="00BB59F1"/>
    <w:pPr>
      <w:spacing w:after="20" w:before="20" w:line="228" w:lineRule="auto"/>
      <w:jc w:val="center"/>
    </w:pPr>
    <w:rPr>
      <w:rFonts w:ascii="Times New Roman" w:cs="Times New Roman" w:hAnsi="Times New Roman"/>
      <w:b w:val="1"/>
      <w:bCs w:val="1"/>
      <w:sz w:val="16"/>
      <w:szCs w:val="24"/>
      <w:lang w:eastAsia="ru-RU"/>
    </w:rPr>
  </w:style>
  <w:style w:type="character" w:styleId="a9" w:customStyle="1">
    <w:name w:val="Табл.Верх Знак"/>
    <w:basedOn w:val="a0"/>
    <w:link w:val="a8"/>
    <w:rsid w:val="00BB59F1"/>
    <w:rPr>
      <w:rFonts w:ascii="Times New Roman" w:cs="Times New Roman" w:hAnsi="Times New Roman"/>
      <w:b w:val="1"/>
      <w:bCs w:val="1"/>
      <w:sz w:val="16"/>
      <w:szCs w:val="24"/>
      <w:lang w:eastAsia="ru-RU"/>
    </w:rPr>
  </w:style>
  <w:style w:type="paragraph" w:styleId="aa">
    <w:name w:val="TOC Heading"/>
    <w:basedOn w:val="1"/>
    <w:next w:val="a"/>
    <w:uiPriority w:val="39"/>
    <w:unhideWhenUsed w:val="1"/>
    <w:qFormat w:val="1"/>
    <w:rsid w:val="000C3B4A"/>
    <w:pPr>
      <w:outlineLvl w:val="9"/>
    </w:pPr>
    <w:rPr>
      <w:lang w:eastAsia="ru-RU"/>
    </w:rPr>
  </w:style>
  <w:style w:type="character" w:styleId="ab">
    <w:name w:val="FollowedHyperlink"/>
    <w:basedOn w:val="a0"/>
    <w:uiPriority w:val="99"/>
    <w:semiHidden w:val="1"/>
    <w:unhideWhenUsed w:val="1"/>
    <w:rsid w:val="000C3B4A"/>
    <w:rPr>
      <w:color w:val="954f72" w:themeColor="followedHyperlink"/>
      <w:u w:val="single"/>
    </w:rPr>
  </w:style>
  <w:style w:type="paragraph" w:styleId="2">
    <w:name w:val="toc 2"/>
    <w:basedOn w:val="a"/>
    <w:next w:val="a"/>
    <w:autoRedefine w:val="1"/>
    <w:uiPriority w:val="39"/>
    <w:unhideWhenUsed w:val="1"/>
    <w:rsid w:val="000C3B4A"/>
    <w:pPr>
      <w:spacing w:after="100"/>
      <w:ind w:left="220"/>
    </w:pPr>
    <w:rPr>
      <w:rFonts w:cs="Times New Roman" w:eastAsiaTheme="minorEastAsia"/>
      <w:lang w:eastAsia="ru-RU"/>
    </w:rPr>
  </w:style>
  <w:style w:type="paragraph" w:styleId="31">
    <w:name w:val="toc 3"/>
    <w:basedOn w:val="a"/>
    <w:next w:val="a"/>
    <w:autoRedefine w:val="1"/>
    <w:uiPriority w:val="39"/>
    <w:unhideWhenUsed w:val="1"/>
    <w:rsid w:val="000C3B4A"/>
    <w:pPr>
      <w:spacing w:after="100"/>
      <w:ind w:left="440"/>
    </w:pPr>
    <w:rPr>
      <w:rFonts w:cs="Times New Roman" w:eastAsiaTheme="minorEastAsia"/>
      <w:lang w:eastAsia="ru-RU"/>
    </w:rPr>
  </w:style>
  <w:style w:type="character" w:styleId="ac">
    <w:name w:val="Placeholder Text"/>
    <w:basedOn w:val="a0"/>
    <w:uiPriority w:val="99"/>
    <w:semiHidden w:val="1"/>
    <w:rsid w:val="009C6C81"/>
    <w:rPr>
      <w:color w:val="808080"/>
    </w:rPr>
  </w:style>
  <w:style w:type="paragraph" w:styleId="ad">
    <w:name w:val="Balloon Text"/>
    <w:basedOn w:val="a"/>
    <w:link w:val="ae"/>
    <w:uiPriority w:val="99"/>
    <w:semiHidden w:val="1"/>
    <w:unhideWhenUsed w:val="1"/>
    <w:rsid w:val="00BA5B4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ae" w:customStyle="1">
    <w:name w:val="Текст выноски Знак"/>
    <w:basedOn w:val="a0"/>
    <w:link w:val="ad"/>
    <w:uiPriority w:val="99"/>
    <w:semiHidden w:val="1"/>
    <w:rsid w:val="00BA5B42"/>
    <w:rPr>
      <w:rFonts w:ascii="Segoe UI" w:cs="Segoe UI" w:hAnsi="Segoe UI"/>
      <w:sz w:val="18"/>
      <w:szCs w:val="18"/>
    </w:rPr>
  </w:style>
  <w:style w:type="paragraph" w:styleId="af">
    <w:name w:val="List Paragraph"/>
    <w:basedOn w:val="a"/>
    <w:uiPriority w:val="34"/>
    <w:qFormat w:val="1"/>
    <w:rsid w:val="00D744A1"/>
    <w:pPr>
      <w:ind w:left="720"/>
      <w:contextualSpacing w:val="1"/>
    </w:pPr>
  </w:style>
  <w:style w:type="paragraph" w:styleId="Default" w:customStyle="1">
    <w:name w:val="Default"/>
    <w:rsid w:val="004D6C53"/>
    <w:pPr>
      <w:autoSpaceDE w:val="0"/>
      <w:autoSpaceDN w:val="0"/>
      <w:adjustRightInd w:val="0"/>
      <w:spacing w:after="0" w:line="240" w:lineRule="auto"/>
    </w:pPr>
    <w:rPr>
      <w:rFonts w:ascii="Times New Roman" w:cs="Times New Roman" w:hAnsi="Times New Roman"/>
      <w:color w:val="000000"/>
      <w:sz w:val="24"/>
      <w:szCs w:val="24"/>
    </w:rPr>
  </w:style>
  <w:style w:type="table" w:styleId="af0">
    <w:name w:val="Table Grid"/>
    <w:basedOn w:val="a1"/>
    <w:uiPriority w:val="39"/>
    <w:rsid w:val="00381A2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af1">
    <w:name w:val="annotation reference"/>
    <w:basedOn w:val="a0"/>
    <w:uiPriority w:val="99"/>
    <w:semiHidden w:val="1"/>
    <w:unhideWhenUsed w:val="1"/>
    <w:rsid w:val="009700A7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 w:val="1"/>
    <w:unhideWhenUsed w:val="1"/>
    <w:rsid w:val="009700A7"/>
    <w:pPr>
      <w:spacing w:line="240" w:lineRule="auto"/>
    </w:pPr>
    <w:rPr>
      <w:sz w:val="20"/>
      <w:szCs w:val="20"/>
    </w:rPr>
  </w:style>
  <w:style w:type="character" w:styleId="af3" w:customStyle="1">
    <w:name w:val="Текст примечания Знак"/>
    <w:basedOn w:val="a0"/>
    <w:link w:val="af2"/>
    <w:uiPriority w:val="99"/>
    <w:semiHidden w:val="1"/>
    <w:rsid w:val="009700A7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 w:val="1"/>
    <w:unhideWhenUsed w:val="1"/>
    <w:rsid w:val="009700A7"/>
    <w:rPr>
      <w:b w:val="1"/>
      <w:bCs w:val="1"/>
    </w:rPr>
  </w:style>
  <w:style w:type="character" w:styleId="af5" w:customStyle="1">
    <w:name w:val="Тема примечания Знак"/>
    <w:basedOn w:val="af3"/>
    <w:link w:val="af4"/>
    <w:uiPriority w:val="99"/>
    <w:semiHidden w:val="1"/>
    <w:rsid w:val="009700A7"/>
    <w:rPr>
      <w:b w:val="1"/>
      <w:bCs w:val="1"/>
      <w:sz w:val="20"/>
      <w:szCs w:val="20"/>
    </w:rPr>
  </w:style>
  <w:style w:type="character" w:styleId="fontstyle01" w:customStyle="1">
    <w:name w:val="fontstyle01"/>
    <w:basedOn w:val="a0"/>
    <w:rsid w:val="00490FAA"/>
    <w:rPr>
      <w:rFonts w:ascii="Times New Roman" w:cs="Times New Roman" w:hAnsi="Times New Roman" w:hint="default"/>
      <w:b w:val="0"/>
      <w:bCs w:val="0"/>
      <w:i w:val="0"/>
      <w:iCs w:val="0"/>
      <w:color w:val="000000"/>
      <w:sz w:val="24"/>
      <w:szCs w:val="24"/>
    </w:rPr>
  </w:style>
  <w:style w:type="character" w:styleId="13" w:customStyle="1">
    <w:name w:val="Неразрешенное упоминание1"/>
    <w:basedOn w:val="a0"/>
    <w:uiPriority w:val="99"/>
    <w:semiHidden w:val="1"/>
    <w:unhideWhenUsed w:val="1"/>
    <w:rsid w:val="00DD593F"/>
    <w:rPr>
      <w:color w:val="605e5c"/>
      <w:shd w:color="auto" w:fill="e1dfdd" w:val="clear"/>
    </w:rPr>
  </w:style>
  <w:style w:type="paragraph" w:styleId="af6">
    <w:name w:val="Normal (Web)"/>
    <w:basedOn w:val="a"/>
    <w:uiPriority w:val="99"/>
    <w:semiHidden w:val="1"/>
    <w:unhideWhenUsed w:val="1"/>
    <w:rsid w:val="007413EA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30" w:customStyle="1">
    <w:name w:val="Заголовок 3 Знак"/>
    <w:basedOn w:val="a0"/>
    <w:link w:val="3"/>
    <w:uiPriority w:val="9"/>
    <w:semiHidden w:val="1"/>
    <w:rsid w:val="00895F14"/>
    <w:rPr>
      <w:rFonts w:asciiTheme="majorHAnsi" w:cstheme="majorBidi" w:eastAsiaTheme="majorEastAsia" w:hAnsiTheme="majorHAnsi"/>
      <w:color w:val="1f4d78" w:themeColor="accent1" w:themeShade="00007F"/>
      <w:sz w:val="24"/>
      <w:szCs w:val="24"/>
    </w:rPr>
  </w:style>
  <w:style w:type="paragraph" w:styleId="af7">
    <w:name w:val="No Spacing"/>
    <w:link w:val="af8"/>
    <w:uiPriority w:val="1"/>
    <w:qFormat w:val="1"/>
    <w:rsid w:val="00F8508C"/>
    <w:pPr>
      <w:spacing w:after="0" w:line="240" w:lineRule="auto"/>
    </w:pPr>
    <w:rPr>
      <w:rFonts w:ascii="Times New Roman" w:cs="Times New Roman" w:eastAsia="Calibri" w:hAnsi="Times New Roman"/>
      <w:sz w:val="24"/>
      <w:szCs w:val="24"/>
    </w:rPr>
  </w:style>
  <w:style w:type="character" w:styleId="af8" w:customStyle="1">
    <w:name w:val="Без интервала Знак"/>
    <w:link w:val="af7"/>
    <w:uiPriority w:val="1"/>
    <w:rsid w:val="00F8508C"/>
    <w:rPr>
      <w:rFonts w:ascii="Times New Roman" w:cs="Times New Roman" w:eastAsia="Calibri" w:hAnsi="Times New Roman"/>
      <w:sz w:val="24"/>
      <w:szCs w:val="24"/>
    </w:rPr>
  </w:style>
  <w:style w:type="character" w:styleId="af9" w:customStyle="1">
    <w:name w:val="Другое_"/>
    <w:basedOn w:val="a0"/>
    <w:link w:val="afa"/>
    <w:rsid w:val="00D9111B"/>
    <w:rPr>
      <w:rFonts w:ascii="Times New Roman" w:cs="Times New Roman" w:eastAsia="Times New Roman" w:hAnsi="Times New Roman"/>
      <w:sz w:val="18"/>
      <w:szCs w:val="18"/>
    </w:rPr>
  </w:style>
  <w:style w:type="paragraph" w:styleId="afa" w:customStyle="1">
    <w:name w:val="Другое"/>
    <w:basedOn w:val="a"/>
    <w:link w:val="af9"/>
    <w:rsid w:val="00D9111B"/>
    <w:pPr>
      <w:widowControl w:val="0"/>
      <w:spacing w:after="0" w:line="240" w:lineRule="auto"/>
    </w:pPr>
    <w:rPr>
      <w:rFonts w:ascii="Times New Roman" w:cs="Times New Roman" w:eastAsia="Times New Roman" w:hAnsi="Times New Roman"/>
      <w:sz w:val="18"/>
      <w:szCs w:val="18"/>
    </w:rPr>
  </w:style>
  <w:style w:type="character" w:styleId="afb" w:customStyle="1">
    <w:name w:val="Основной текст_"/>
    <w:basedOn w:val="a0"/>
    <w:link w:val="14"/>
    <w:rsid w:val="00C945CD"/>
    <w:rPr>
      <w:rFonts w:ascii="Times New Roman" w:cs="Times New Roman" w:eastAsia="Times New Roman" w:hAnsi="Times New Roman"/>
    </w:rPr>
  </w:style>
  <w:style w:type="paragraph" w:styleId="14" w:customStyle="1">
    <w:name w:val="Основной текст1"/>
    <w:basedOn w:val="a"/>
    <w:link w:val="afb"/>
    <w:rsid w:val="00C945CD"/>
    <w:pPr>
      <w:widowControl w:val="0"/>
      <w:spacing w:after="0" w:line="240" w:lineRule="auto"/>
      <w:ind w:firstLine="400"/>
    </w:pPr>
    <w:rPr>
      <w:rFonts w:ascii="Times New Roman" w:cs="Times New Roman" w:eastAsia="Times New Roman" w:hAnsi="Times New Roman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about:blank" TargetMode="Externa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mCbBe4g1f7pIrHoRTHfCJdgPNg==">CgMxLjA4AHIhMTdlUy1lT0hSa3NMSFdGdVZENlJwN2JUeURwbW85MGV0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2023-02-16T08:37:00Z</dcterms:created>
  <dc:creator>Баринова Дарья Михайловна</dc:creator>
</cp:coreProperties>
</file>