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B378C">
        <w:rPr>
          <w:b/>
          <w:sz w:val="24"/>
          <w:szCs w:val="24"/>
        </w:rPr>
        <w:t>АО000704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B378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B378C">
        <w:rPr>
          <w:b/>
          <w:sz w:val="24"/>
          <w:szCs w:val="24"/>
        </w:rPr>
        <w:t>АО000704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B378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B378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B378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B378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B378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B378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B378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B378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B378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B378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B378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3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3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3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3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3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B3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3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B3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B3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3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B3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3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B3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B3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3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3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B3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B378C" w:rsidRDefault="00EB378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3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682</w:t>
            </w:r>
          </w:p>
        </w:tc>
      </w:tr>
      <w:tr w:rsidR="00EB3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B3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бок. мет. приж. и внутр. карм. BRAUBERG "Диагональ" серебряная, до 100 листов, 0,6мм        </w:t>
            </w:r>
          </w:p>
        </w:tc>
      </w:tr>
      <w:tr w:rsidR="00EB3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EB3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B3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B3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B3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B3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B37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B378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B378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B37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B37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руб.</w:t>
            </w:r>
          </w:p>
        </w:tc>
      </w:tr>
      <w:tr w:rsidR="00EB37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B378C" w:rsidRDefault="00EB378C" w:rsidP="00EB3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B378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378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