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C1886">
        <w:rPr>
          <w:b/>
          <w:sz w:val="24"/>
          <w:szCs w:val="24"/>
        </w:rPr>
        <w:t>373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1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1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C1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C1886" w:rsidRDefault="004C188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C1886" w:rsidRDefault="004C18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1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</w:tr>
      <w:tr w:rsidR="004C1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</w:t>
            </w:r>
          </w:p>
        </w:tc>
      </w:tr>
      <w:tr w:rsidR="004C1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А4 198*288мм ПИФАГОР, ВОЛШЕБНЫЙ, 10 цв., 10 л., "Восточная сказка", 121322           </w:t>
            </w:r>
          </w:p>
        </w:tc>
      </w:tr>
      <w:tr w:rsidR="004C1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C1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C188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C1886" w:rsidRDefault="004C18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C18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C18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C18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4C1886" w:rsidRDefault="004C1886" w:rsidP="004C1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C188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83323-09E1-47FF-B440-4605D6480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