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CADB0" w14:textId="49CCB54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25409">
        <w:rPr>
          <w:b/>
          <w:sz w:val="24"/>
          <w:szCs w:val="24"/>
        </w:rPr>
        <w:t>АО0003313</w:t>
      </w:r>
      <w:r w:rsidRPr="00BE0A9B">
        <w:rPr>
          <w:b/>
          <w:sz w:val="24"/>
          <w:szCs w:val="24"/>
        </w:rPr>
        <w:t>.</w:t>
      </w:r>
    </w:p>
    <w:p w14:paraId="2CAFEFC9" w14:textId="0D31C7DA" w:rsidR="009B22E7" w:rsidRPr="00BE0A9B" w:rsidRDefault="00D2540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25.06.2025</w:t>
      </w:r>
    </w:p>
    <w:p w14:paraId="748ECA5B" w14:textId="18BFDDF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54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5409">
        <w:rPr>
          <w:b/>
          <w:sz w:val="24"/>
          <w:szCs w:val="24"/>
        </w:rPr>
        <w:t>АО0003313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9E9295" w14:textId="77777777" w:rsidTr="000E46A0">
        <w:tc>
          <w:tcPr>
            <w:tcW w:w="2376" w:type="dxa"/>
          </w:tcPr>
          <w:p w14:paraId="24F60B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E17C2F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C565C61" w14:textId="77777777" w:rsidTr="000E46A0">
        <w:tc>
          <w:tcPr>
            <w:tcW w:w="2376" w:type="dxa"/>
          </w:tcPr>
          <w:p w14:paraId="1E6A41B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D67A5F3" w14:textId="67B0558E" w:rsidR="00EB4646" w:rsidRPr="00BE0A9B" w:rsidRDefault="00D254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B904954" w14:textId="77777777" w:rsidTr="000E46A0">
        <w:tc>
          <w:tcPr>
            <w:tcW w:w="2376" w:type="dxa"/>
          </w:tcPr>
          <w:p w14:paraId="5822CDE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A410602" w14:textId="72CF1EF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54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5409">
              <w:rPr>
                <w:sz w:val="24"/>
                <w:szCs w:val="24"/>
              </w:rPr>
              <w:t>Панина Аминат Рамазановна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2DC2C04" w14:textId="77777777" w:rsidTr="000E46A0">
        <w:tc>
          <w:tcPr>
            <w:tcW w:w="2376" w:type="dxa"/>
          </w:tcPr>
          <w:p w14:paraId="2959E3C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882F41E" w14:textId="41FE71CD" w:rsidR="00EB4646" w:rsidRPr="00BE0A9B" w:rsidRDefault="00D254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Ключи у финансового управляющего отсутствуют, показ объектов не осуществляется. Возможно, имеются лица, проживающие в квартире. В квартире есть зарегистрированные лица (совершеннолетние).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 В случае взимания обслуживающим расчетный счет банком комиссии за перечисление денежных средств участнику торгов в качестве возврата задатка, задаток возвращается участнику за вычетом суммы такой банковской комиссии.</w:t>
            </w:r>
          </w:p>
        </w:tc>
      </w:tr>
      <w:tr w:rsidR="00EB4646" w:rsidRPr="00BE0A9B" w14:paraId="7B5A5704" w14:textId="77777777" w:rsidTr="000E46A0">
        <w:tc>
          <w:tcPr>
            <w:tcW w:w="2376" w:type="dxa"/>
          </w:tcPr>
          <w:p w14:paraId="63917EE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FBD4704" w14:textId="59608A8E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54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54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BCB6DFA" w14:textId="77777777" w:rsidTr="000E46A0">
        <w:tc>
          <w:tcPr>
            <w:tcW w:w="2376" w:type="dxa"/>
          </w:tcPr>
          <w:p w14:paraId="53C92A3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76654A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F6C08A" w14:textId="77777777" w:rsidTr="000E46A0">
        <w:trPr>
          <w:trHeight w:val="690"/>
        </w:trPr>
        <w:tc>
          <w:tcPr>
            <w:tcW w:w="2376" w:type="dxa"/>
          </w:tcPr>
          <w:p w14:paraId="2646F6B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72F391" w14:textId="6726A71B" w:rsidR="004C520C" w:rsidRPr="00BE0A9B" w:rsidRDefault="00D254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14.05.2025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4FF9DC2F" w14:textId="77777777" w:rsidTr="000E46A0">
        <w:trPr>
          <w:trHeight w:val="135"/>
        </w:trPr>
        <w:tc>
          <w:tcPr>
            <w:tcW w:w="2376" w:type="dxa"/>
          </w:tcPr>
          <w:p w14:paraId="3C45572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B2E72E0" w14:textId="50E5A1F5" w:rsidR="004C520C" w:rsidRPr="00BE0A9B" w:rsidRDefault="00D254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20.06.2025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17AF8089" w14:textId="77777777" w:rsidTr="000E46A0">
        <w:trPr>
          <w:trHeight w:val="150"/>
        </w:trPr>
        <w:tc>
          <w:tcPr>
            <w:tcW w:w="2376" w:type="dxa"/>
          </w:tcPr>
          <w:p w14:paraId="3F80C4A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A0407E4" w14:textId="1483041B" w:rsidR="004C520C" w:rsidRPr="00BE0A9B" w:rsidRDefault="00D254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13.05.2025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9258FB" w14:textId="77777777" w:rsidTr="000E46A0">
        <w:trPr>
          <w:trHeight w:val="119"/>
        </w:trPr>
        <w:tc>
          <w:tcPr>
            <w:tcW w:w="2376" w:type="dxa"/>
          </w:tcPr>
          <w:p w14:paraId="42E2BEE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FC30B3A" w14:textId="014139F5" w:rsidR="004C520C" w:rsidRPr="00BE0A9B" w:rsidRDefault="00D254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13.05.2025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A2A60BE" w14:textId="77777777" w:rsidTr="000E46A0">
        <w:trPr>
          <w:trHeight w:val="135"/>
        </w:trPr>
        <w:tc>
          <w:tcPr>
            <w:tcW w:w="2376" w:type="dxa"/>
          </w:tcPr>
          <w:p w14:paraId="316C75C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EEBF37" w14:textId="3E591DAF" w:rsidR="004C520C" w:rsidRPr="00BE0A9B" w:rsidRDefault="00D254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13.05.2025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6CE48F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2D213C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409" w14:paraId="3528E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43880" w14:textId="59CC49BD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0A85745" w14:textId="60DE820C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Шаповалова  Каролина  Сергеевна </w:t>
            </w:r>
          </w:p>
        </w:tc>
      </w:tr>
      <w:tr w:rsidR="00D25409" w14:paraId="04E82B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95F69" w14:textId="0D35B7F2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15E2CC4" w14:textId="532FFCF8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642303005589</w:t>
            </w:r>
          </w:p>
        </w:tc>
      </w:tr>
    </w:tbl>
    <w:p w14:paraId="304EAB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0B2D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409" w14:paraId="55B18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8BE2E" w14:textId="6D7E4555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294E8BD" w14:textId="33F8C349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Шаповалова Каролина Сергеевна</w:t>
            </w:r>
          </w:p>
        </w:tc>
      </w:tr>
      <w:tr w:rsidR="00D25409" w14:paraId="06BA41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CBC1D9" w14:textId="2036D175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1D86C2A" w14:textId="69689C30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642303005589</w:t>
            </w:r>
          </w:p>
        </w:tc>
      </w:tr>
      <w:tr w:rsidR="00D25409" w14:paraId="6B4554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80038E" w14:textId="720E277A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4152BFC" w14:textId="6D3CC104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ПАУ ЦФО - 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D25409" w14:paraId="1F3273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D0A99B" w14:textId="240D7972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9077C25" w14:textId="4EC59FA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22572</w:t>
            </w:r>
          </w:p>
        </w:tc>
      </w:tr>
    </w:tbl>
    <w:p w14:paraId="28E157DF" w14:textId="2D9D11E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7F4C13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409" w14:paraId="781A12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0DEA2" w14:textId="5F423D69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259BFA5" w14:textId="0EE34230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Астраханской области</w:t>
            </w:r>
          </w:p>
        </w:tc>
      </w:tr>
      <w:tr w:rsidR="00D25409" w14:paraId="722487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365920" w14:textId="0B3AD6AA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F05F213" w14:textId="3F6ED6AC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А06-6368/2022</w:t>
            </w:r>
          </w:p>
        </w:tc>
      </w:tr>
      <w:tr w:rsidR="00D25409" w14:paraId="18005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6ABB8D" w14:textId="6B49F259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FAA014A" w14:textId="1A2E56E8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Астраханской области от 28.11.2022г. (резолютивная часть объявлена 21.11.2022 г.), Определение Арбитражного суда Астраханской области от 14.12.2023 г. по делу № А06-6368/2022</w:t>
            </w:r>
          </w:p>
        </w:tc>
      </w:tr>
    </w:tbl>
    <w:p w14:paraId="33A4D4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8313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409" w14:paraId="33FC0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BE74B" w14:textId="2C0437CF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3D52BBF" w14:textId="1D58288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5409" w14:paraId="0B71EE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F84939" w14:textId="38DDD81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1E10A9" w14:textId="5A17776B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Панина Аминат Рамазановна</w:t>
            </w:r>
          </w:p>
        </w:tc>
      </w:tr>
      <w:tr w:rsidR="00D25409" w14:paraId="082E74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532B9" w14:textId="31B7C6AB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37B52E" w14:textId="514D1C70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300201550972</w:t>
            </w:r>
          </w:p>
        </w:tc>
      </w:tr>
      <w:tr w:rsidR="00D25409" w14:paraId="2E6D23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C68C6" w14:textId="724D5F91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D8C678C" w14:textId="5C7BB8A0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договора. В случае отказа или уклонения Победителя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Если к участию в торгах был допущен только один участник, заявка которого на участие в торгах соответствует условиям или содержит предложение о цене имущества не ниже установленной начальной цены продажи, договор купли-продажи заключается финансовым управляющим с этим участником торгов. В случае отказа или уклонения единственного участника торгов от подписания договора купли-продажи в течение 5 календарных дней со дня получения предложения финансового управляющего о заключении такого договора внесенный задаток ему не возвращается.</w:t>
            </w:r>
          </w:p>
        </w:tc>
      </w:tr>
    </w:tbl>
    <w:p w14:paraId="2099C7E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97AF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409" w14:paraId="19A392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F008C" w14:textId="242A32D1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AE4E149" w14:textId="09B58D5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Шаповалова Каролина Сергеевна</w:t>
            </w:r>
          </w:p>
        </w:tc>
      </w:tr>
      <w:tr w:rsidR="00D25409" w14:paraId="78274F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A320D" w14:textId="01EC485B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06EDD29" w14:textId="14FC0B24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8-987-307-71-18</w:t>
            </w:r>
          </w:p>
        </w:tc>
      </w:tr>
      <w:tr w:rsidR="00D25409" w14:paraId="332817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E3B01" w14:textId="60A08906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39A57D3" w14:textId="244410F6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k_21@rambler.ru</w:t>
            </w:r>
          </w:p>
        </w:tc>
      </w:tr>
    </w:tbl>
    <w:p w14:paraId="443E651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8B905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56C7AFE" w14:textId="77777777" w:rsidR="00D25409" w:rsidRDefault="00D254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F0F0BB3" w14:textId="77777777" w:rsidR="00D25409" w:rsidRDefault="00D2540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5409" w14:paraId="639625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C6685" w14:textId="61EBD745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65DB2D" w14:textId="2A6F60B6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</w:t>
            </w:r>
          </w:p>
        </w:tc>
      </w:tr>
      <w:tr w:rsidR="00D25409" w14:paraId="5ABA9B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AF0F5" w14:textId="2FAE6E4D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6AA7F8" w14:textId="481D71C8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открытых эл. торгах в форме аукциона подаются: С 12:00ч. 14.05.2025 г. до 12:00ч. 20.06.2025 г. (здесь и далее - время ЭТП, Московское) оператору Электронной площадки ООО «Евразийская Торговая Площадка» на сайте www.eurtp.ru в соответствии с порядком установленным регламентом площадки. Дата начала проведения повторного аукциона в 12:00ч. 23.06.2025 г. (время Московское), на сайте: www.eurtp.ru.Подведение результатов в день торгов. Заявка оформляется в соответствии со ст.110 ФЗ «О несостоятельности (банкротстве)» и Приказом Минэкономразвития № 495 от 23.07.2015 г. в форме электронного документа в произвольной форме на русском языке и должна содержать: обязательство участника соблюдать требования, указанные в сообщении о проведении торгов, фирменное наименование, сведения об организационно-правовой форме, о месте нахождения, почтовый адрес (для юр.лица); фамилия, имя, отчество, паспортные данные, сведения о месте жительства заявителя (для физ.лица); номер контактного телефона, адрес электронной почты заявителя, идентификационный номер налогоплательщика.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следующие документы: действительную на день представления заявки на участие в торгах выписку из ЕГРЮЛ (для юр. лица) или ЕГРИП (для ИП) или нотариально заверенную копию; копии документов, удостоверяющих личность (для физ. лица); надлежащим образом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 и(или) учредительными документами юр.лица и если для участника торгов приобретение имущества или внесение денежных средств в качестве задатка являются крупной сделкой; копии документов, подтверждающих полномочия руководителя (для юр.лиц); документ, подтверждающий полномочия лица на осуществление действия от имени заявителя, доказательство внесения задатка.</w:t>
            </w:r>
          </w:p>
        </w:tc>
      </w:tr>
      <w:tr w:rsidR="00D25409" w14:paraId="6D7B5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C1AC4" w14:textId="51CA399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FBBC7F" w14:textId="3960F484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«Жилое помещение (квартира) с кадастровым номером: 77:17:0110205:37990, расположенное по адресу: РФ, г.Москва, вн.тер.г.поселение Московский, улица Картамазовские Пруды, дом 2, корпус 3, квартира 534, площадью 42,9 кв., вид права - собственность. Дата государственной регистрации -16.05.2023г., номер государственной регистрации - 77:17:0110205:37990-77/072/2023-3, основание государственной регистрации - договор купли-продажи квартиры, ЩКП/ФЛЗ- 07-08- 534/2, выдан 15.05.2023г., ограничение права - ипотека в силу закона, номер государственной регистрации - 77:77:0110205:37990-77/072/2023-4». Ознакомиться с имеющимися документами по имуществу можно с момента публикации сообщения о продаже имущества и до окончания приема заявок в рабочие дни по предварительной записи по телефону: +7-987-307-71-18 либо посредством электронной почты: k_21@rambler.ru. Информация об имуществе представляется организатором торгов по письменному запросу заявителя. ЛОТ № 1 является совместно нажитым имуществом, в соответствии с нормами Семейного кодекса РФ. Согласно выписке ЕГРН, имущество является предметом залога, залогодержатель – ПАО ВТБ БАНК. Согласно определению Арбитражного суда Астраханской области от 10.03.2025 г. по Делу № А06-6368/2022 -158726/2024 ПАО ВТБ БАНК является за реестровым кредитором. Финансовый управляющий занимается снятием данных ограничений/обременений. Ключи у финансового управляющего отсутствуют, показ объектов не осуществляется. Возможно, имеются лица, проживающие в квартире. В квартире есть зарегистрированные лица (совершеннолетние). Должник с финансовым управляющим не взаимодействует и на контакт не выходит, на запросы не отвечает. В связи с тем, что имеются препятствия со стороны должника, тех. состояние имущества не проверялось, фотографии отсутствуют, соответствие описанию, иные характеристики, проверяются участником торгов самостоятельно, в противном случае претензии по лоту не принимаются. Сделка купли-продажи заключена в простой письменной форме, нотариально не удостоверена. Покупатель берет на себя полную юридическую ответственность при покупке лота № 1 и несет все дальнейшие правовые риски.</w:t>
            </w:r>
          </w:p>
        </w:tc>
      </w:tr>
      <w:tr w:rsidR="00D25409" w14:paraId="1229AE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0581C" w14:textId="561049D8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410A02" w14:textId="57913B3A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10776600,00</w:t>
            </w:r>
          </w:p>
        </w:tc>
      </w:tr>
      <w:tr w:rsidR="00D25409" w14:paraId="722917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5017B" w14:textId="49EDC433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4E6B7E2" w14:textId="799A00A6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5409" w14:paraId="58EE38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DC84C" w14:textId="418CC579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D79E90B" w14:textId="2417E5AE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538830,00</w:t>
            </w:r>
          </w:p>
        </w:tc>
      </w:tr>
      <w:tr w:rsidR="00D25409" w14:paraId="5A3248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F075EB" w14:textId="508090D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E89894" w14:textId="38C1CC21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5409" w14:paraId="0A2EE9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0C5FFA" w14:textId="6F4178CC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CAE7E4" w14:textId="7DC0F34A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25409" w14:paraId="23574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B3300B" w14:textId="3DC40B24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946FCA6" w14:textId="0FFB0697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договором о задатке. При внесении задатка участник обязан указать в назначении платежа наименование должника, номер (код) торгов и номер лота. Документом, подтверждающим поступление задатка на счет, указанный в информационном сообщении о проведении торгов, является выписка со счета, заверенная банком, либо платежное поручение с отметкой о списании суммы задатка с расчетного счета заявителя. Задаток, внесенный победителем торгов/единственным участником, засчитывается в счет частичной оплаты приобретаемого имущества. При отказе в допуске заявителя к участию в торгах задаток возвращается в течение 5 (пяти) рабочих дней со дня подписания протокола о результатах проведения торгов. Задаток не возвращается в случае отказа или уклонения победителя/единственного участника торгов от подписания договора в течение 5 дней с момента получения победителем/единственным участником торгов предложения о заключении договора, а также в случае неоплаты имущества Должника в установленный срок в соответствии с заключенным договором.</w:t>
            </w:r>
          </w:p>
        </w:tc>
      </w:tr>
      <w:tr w:rsidR="00D25409" w14:paraId="40ED12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A9533" w14:textId="24EC469C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94AAD73" w14:textId="2C38973D" w:rsidR="00D25409" w:rsidRDefault="00D25409" w:rsidP="00D254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Панина Аминат Рамазановна, ИНН 300201550972, р/с 40817810750173823751 в ФИЛИАЛ "ЦЕНТРАЛЬНЫЙ" ПАО "СОВКОМБАНК" (БЕРДСК) к/с 30101810150040000763, БИК 045004763, ИНН БАНКА 4401116480</w:t>
            </w:r>
          </w:p>
        </w:tc>
      </w:tr>
    </w:tbl>
    <w:p w14:paraId="5D0F8ABD" w14:textId="120EC47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25409">
        <w:rPr>
          <w:sz w:val="24"/>
          <w:szCs w:val="24"/>
        </w:rPr>
        <w:t>Заявок на данный лот нет.</w:t>
      </w:r>
    </w:p>
    <w:p w14:paraId="384A593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74D63A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EF5D5B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815911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E6C32F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7EC012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3F408D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403B5E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D66800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049E12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D4FB5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5EAB81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8A52C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3B7D4E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E6FBD5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FBEC1F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424E0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5C657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52385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ED6AE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CFA85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1DA3E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C8ABA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125B6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ECDD5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98AFD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42085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EBF1E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4F0DF1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7AA833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379A2D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C69BAB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F2E0FA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51B1A4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BCB56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2CA137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D5A123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737A0BE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C280F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7F45A1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430D3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030FF6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2C3B05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850FF3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65B429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6154B8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9FF633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58F1C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E3C0EE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114A89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0942ED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FD6290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5F1B8FC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552462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05B3A1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540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A7EDD"/>
  <w15:docId w15:val="{40678736-4765-4A6E-A9C5-28BB0D540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2048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2025-06-25T12:21:00Z</dcterms:created>
  <dcterms:modified xsi:type="dcterms:W3CDTF">2025-06-25T12:21:00Z</dcterms:modified>
</cp:coreProperties>
</file>