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B47A71">
        <w:rPr>
          <w:b/>
          <w:sz w:val="24"/>
          <w:szCs w:val="24"/>
        </w:rPr>
        <w:t>3050</w:t>
      </w:r>
      <w:r w:rsidR="00424B57">
        <w:rPr>
          <w:b/>
          <w:sz w:val="24"/>
          <w:szCs w:val="24"/>
        </w:rPr>
        <w:t>.</w:t>
      </w:r>
    </w:p>
    <w:p w:rsidR="00320475" w:rsidRPr="00320475" w:rsidRDefault="00B47A71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25.01.2023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B47A71">
        <w:rPr>
          <w:sz w:val="24"/>
          <w:szCs w:val="24"/>
        </w:rPr>
        <w:t>Попова Наталья Александровна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B47A71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B47A71">
        <w:rPr>
          <w:sz w:val="24"/>
          <w:szCs w:val="24"/>
        </w:rPr>
        <w:t>АО0003050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B47A71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B47A71">
        <w:rPr>
          <w:sz w:val="24"/>
          <w:szCs w:val="24"/>
        </w:rPr>
        <w:t>Оглезнев Дмитрий Валерьевич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B47A71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B47A71">
        <w:rPr>
          <w:sz w:val="24"/>
          <w:szCs w:val="24"/>
        </w:rPr>
        <w:t>АО0003050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B47A71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B47A7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B47A71">
              <w:rPr>
                <w:sz w:val="24"/>
                <w:szCs w:val="24"/>
              </w:rPr>
              <w:t>Оглезнев Дмитрий Валерьевич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B47A7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На земельном участке расположена самовольная постройка, снос которой, либо компенсация понесенных расходов за снос, производится за счет победителя торгов!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B47A7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B47A71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6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B47A71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19.01.2023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B47A7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28.02.2023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11:00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B47A7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18.01.2023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8:17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B47A7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18.01.2023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8:17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B47A71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18.01.2023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8:17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Александровна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504718473822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Александровна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504718473822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Крымский союз профессиональных арбитражных управляющих "ЭКСПЕРТ" (ИНН 9102024960,  ОГРН 1149102040185)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11/037546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Калужской области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А23-9744/2020  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Калужской области от 30.03.2021 г. по делу № А23-9744/2020 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Оглезнев Дмитрий Валерьевич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402715033880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Александровна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89689442323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bkrt911@gmail.com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B47A71" w:rsidRDefault="00B47A71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площадь 900 кв.м., адрес (местонахождение): Россия, Московская область, Подольский, С. Покров, кадастровый (условный) номер: 50:27:0020551:99, категория земель:земли сельскохозяйственного назначения, назначение объекта: для ведения крестьянского (фермерского) хозяйства.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площадь 900 кв.м., адрес (местонахождение): Россия, Московская область, Подольский, С. Покров, кадастровый (условный) номер: 50:27:0020551:99, категория земель:земли сельскохозяйственного назначения, назначение объекта: для ведения крестьянского (фермерского) хозяйства. Примечание: На земельном участке расположена самовольная постройка, снос которой, либо компенсация понесенных расходов за снос, производится за счет победителя торгов!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70173,00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7017,3000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</w:tc>
      </w:tr>
      <w:tr w:rsidR="00B47A7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B47A71" w:rsidRDefault="00B47A71" w:rsidP="00B47A7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в срок, обеспечивающий его поступление до даты окончания срока приема заявок на участие в торгах, по следующим реквизитам: ПАО СБЕРБАНК Кор/счет банка 30101810400000000225 БИК банка 044525225 ИНН банка 7707083893 Счет получателя 40817810838042472132 ФИО получателя Оглезнев Дмитрий Валерьевич Назначение платежа: "Задаток на участие в торгах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47A7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7AF9-1675-40D6-BF44-47B78062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5EBA-5829-425B-9F2B-D96AD028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2023-01-25T13:19:00Z</dcterms:created>
  <dcterms:modified xsi:type="dcterms:W3CDTF">2023-01-25T13:19:00Z</dcterms:modified>
</cp:coreProperties>
</file>