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C1190">
        <w:rPr>
          <w:b/>
          <w:sz w:val="24"/>
          <w:szCs w:val="24"/>
        </w:rPr>
        <w:t>АО0003006</w:t>
      </w:r>
      <w:r w:rsidRPr="00BE0A9B">
        <w:rPr>
          <w:b/>
          <w:sz w:val="24"/>
          <w:szCs w:val="24"/>
        </w:rPr>
        <w:t>.</w:t>
      </w:r>
    </w:p>
    <w:p w:rsidR="009B22E7" w:rsidRPr="00BE0A9B" w:rsidRDefault="009C119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C11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C1190">
        <w:rPr>
          <w:b/>
          <w:sz w:val="24"/>
          <w:szCs w:val="24"/>
        </w:rPr>
        <w:t>АО0003006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C119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C11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C1190">
              <w:rPr>
                <w:sz w:val="24"/>
                <w:szCs w:val="24"/>
              </w:rPr>
              <w:t>Гримашевич Николай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C119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C11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C11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C119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C119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C119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C119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C119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Ольга Владимировна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343515955226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Алькема Ольга Владимировна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343515955226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«Эксперт» 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17614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А12-527/2022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Волгоградской области от 21.03.2022 г. по делу №А12-527/2022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Гримашевич Николай Николаевич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340300186110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 протокола торгов, конкурсный управляющий направляет победителю торгов заказным письмом, курьером либо электронной почтой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за лот. Победитель торгов может получить предложение о заключении договора купли-продажи и проект договора купли-продажи имущества непосредственно у конкурсного управляющего, а конкурсный управляющий обязан предоставить победителю торгов такую возможность не позднее пяти рабочих дней с даты подписания протокола о результатах проведения торгов.В случае отказа или уклонения победителя торгов от подписания договора купли-продажи в течении пяти дней с даты получения предложения конкурсного управляющего о заключении такого договора внесенный задаток ему не возвращается, и конкурсный управляющий предлагает заключить договор купли-продажи имущества участнику торгов, предложившему наиболее высокую цену за лот по сравнению с ценой, предложенной другими участниками торгов, за исключением победителя торгов.Продажа имущества оформляется договором купли-продажи имущества, который заключает конкурсный управляющий с победителем торгов.Обязательными условиями договора купли-продажи имущества являются:• Сведения об имуществе;• Цена продажи имущества;• Порядок и срок передачи имущества покупателю;• Иные предусмотренные законодательством Российской Федерации условия.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Алькема О.В.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+79178316462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oalkema@mail.ru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C1190" w:rsidRDefault="009C11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C1190" w:rsidRDefault="009C119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имущества Гримашевича Николая Николаевича 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содержать: 1)</w:t>
            </w:r>
            <w:r>
              <w:rPr>
                <w:sz w:val="24"/>
                <w:szCs w:val="24"/>
              </w:rPr>
              <w:tab/>
              <w:t>Обязательство участника открытых торгов соблюдать требования, указанные в сообщении о проведении открытых торгов; 2)</w:t>
            </w:r>
            <w:r>
              <w:rPr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копию паспорта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34:03:040001:537, назначение объекта недвижимости: земли населенных пунктов, виды разрешенного использования:для ведения личного подсобного хозяйства, адрес: Обл. Волгоградская, р-н Городищенский, х.Песковатка пер.Майский 17,, площадь 1000+/-22 кв.м.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365685,30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18284,265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дня, в который определяется состав участников торгов, задаток от претендентов (заявителей) должен поступить на счет, указанный в сообщении о проведении торгов. В случае перечисления задатка третьими лицами в назначении платежа должно быть указано за кого данный задаток перечислен.Задаток возвращается по банковским реквизитам Заявителя, указанным в п. 4 настоящего договора. В случае отсутствия банковских реквизитов Заявителя, указанных в п.4 настоящего договора, задаток возвращается Организатором торгов по реквизитам расчетного счета поступления задатка. Организатор торгов не несет ответственности за нарушение сроков возврата задатка по настоящем договору в случае неисполнения и/или ненадлежащего исполнения данной обязанности Заявителем.</w:t>
            </w:r>
          </w:p>
        </w:tc>
      </w:tr>
      <w:tr w:rsidR="009C11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C1190" w:rsidRDefault="009C1190" w:rsidP="009C11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подлежит внесению по следующим реквизитам: Наименование получателя: Гримашевич Николай Николаевич  ИНН 340300186110 Расчётный счёт 40817810311005370873 БИК 041806647 Банк ВОЛГОГРАДСКОЕ ОТДЕЛЕНИЕ №8621 ПАО СБЕРБАНК Корр. счёт 30101.810.1.00000000647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C119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1190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9BE0D-5233-4346-9A94-09380333E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EDBDC-9D2D-4D3C-853F-9D84852C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2022-11-07T06:33:00Z</dcterms:created>
  <dcterms:modified xsi:type="dcterms:W3CDTF">2022-11-07T06:33:00Z</dcterms:modified>
</cp:coreProperties>
</file>