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5824">
        <w:rPr>
          <w:b/>
          <w:sz w:val="24"/>
          <w:szCs w:val="24"/>
        </w:rPr>
        <w:t>АО0002983</w:t>
      </w:r>
      <w:r w:rsidRPr="00BE0A9B">
        <w:rPr>
          <w:b/>
          <w:sz w:val="24"/>
          <w:szCs w:val="24"/>
        </w:rPr>
        <w:t>.</w:t>
      </w:r>
    </w:p>
    <w:p w:rsidR="009B22E7" w:rsidRPr="00BE0A9B" w:rsidRDefault="002F582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F58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F5824">
        <w:rPr>
          <w:b/>
          <w:sz w:val="24"/>
          <w:szCs w:val="24"/>
        </w:rPr>
        <w:t>АО0002983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582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F58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F5824">
              <w:rPr>
                <w:sz w:val="24"/>
                <w:szCs w:val="24"/>
              </w:rPr>
              <w:t>Гримашевич Николай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582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F58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F58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582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582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582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582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582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Алькема  Ольга Владимировна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343515955226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«Эксперт» 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17614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А122-527/2022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21.03.2022 г. по делу №А12-527/2022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 протокола торгов,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торгов.Обязательными условиями договора купли-продажи имущества являются:•</w:t>
            </w:r>
            <w:r>
              <w:rPr>
                <w:sz w:val="24"/>
                <w:szCs w:val="24"/>
              </w:rPr>
              <w:tab/>
              <w:t>Сведения об имуществе;•</w:t>
            </w:r>
            <w:r>
              <w:rPr>
                <w:sz w:val="24"/>
                <w:szCs w:val="24"/>
              </w:rPr>
              <w:tab/>
              <w:t>Цена продажи имущества;•</w:t>
            </w:r>
            <w:r>
              <w:rPr>
                <w:sz w:val="24"/>
                <w:szCs w:val="24"/>
              </w:rPr>
              <w:tab/>
              <w:t>Порядок и срок передачи имущества покупателю;•</w:t>
            </w:r>
            <w:r>
              <w:rPr>
                <w:sz w:val="24"/>
                <w:szCs w:val="24"/>
              </w:rPr>
              <w:tab/>
              <w:t>Иные предусмотренные законодательством Российской Федерации условия.При продаже имущества оплата в соответствии с договором купли-продажи имущества должна быть осуществлена покупателем в течение тридцати дней со дня подписания этого договора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5824" w:rsidRDefault="002F58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F5824" w:rsidRDefault="002F582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</w:t>
            </w:r>
            <w:r>
              <w:rPr>
                <w:sz w:val="24"/>
                <w:szCs w:val="24"/>
              </w:rPr>
              <w:tab/>
      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почты; 4)</w:t>
            </w:r>
            <w:r>
              <w:rPr>
                <w:sz w:val="24"/>
                <w:szCs w:val="24"/>
              </w:rPr>
              <w:tab/>
              <w:t>Копию свидетельства о присвоении идентификационного номера налогоплательщика; 5)</w:t>
            </w:r>
            <w:r>
              <w:rPr>
                <w:sz w:val="24"/>
                <w:szCs w:val="24"/>
              </w:rPr>
              <w:tab/>
              <w:t>Копии документов, подтверждающих полномочия руководителя (для юридических лиц); 6)</w:t>
            </w:r>
            <w:r>
              <w:rPr>
                <w:sz w:val="24"/>
                <w:szCs w:val="24"/>
              </w:rPr>
              <w:tab/>
              <w:t>Нотариально удостоверенная доверенность на представителя и копия паспорта представителя (для физических лиц и для индивидуального предпринимателя), документ, подтверждающий полномочия лица на осуществление действий от имени заявителя; 7)</w:t>
            </w:r>
            <w:r>
              <w:rPr>
                <w:sz w:val="24"/>
                <w:szCs w:val="24"/>
              </w:rPr>
              <w:tab/>
              <w:t>Документ, подтверждающий внесение задатка; 8)</w:t>
            </w:r>
            <w:r>
              <w:rPr>
                <w:sz w:val="24"/>
                <w:szCs w:val="24"/>
              </w:rPr>
              <w:tab/>
              <w:t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9)</w:t>
            </w:r>
            <w:r>
              <w:rPr>
                <w:sz w:val="24"/>
                <w:szCs w:val="24"/>
              </w:rPr>
              <w:tab/>
              <w:t>Опись документов, приложенных к заявке с указанием количества листов.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Положением, при этом первоначальная заявка должна быть отозвана. В случае, если в новой заявке не содержится сведений об отзыве первоначальной заявки, ни одна из заявок не рассматривается. Решение об отказе в допуске заявителя к участию в торгах принимается в случае, если: 1) заявка на участие в торгах не соответствует требованиям, установленным настоящим Порядком; 2) представленные заявителем документы не соответствуют установленным к ним требованиям или сведения, содержащиеся в них, недостоверны. 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 4) заявителем не предоставлены документы, подтверждающих его соответствие требованиям к участникам торгов. 5) сумма задатка не поступила до срока окончания приёма заявок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406317,00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20315,85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2F5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5824" w:rsidRDefault="002F5824" w:rsidP="002F5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F582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F5824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3FDF7-8032-4346-B303-92581F28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E9ED-5E91-44E2-8505-D29D63A0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2022-09-16T05:36:00Z</dcterms:created>
  <dcterms:modified xsi:type="dcterms:W3CDTF">2022-09-16T05:36:00Z</dcterms:modified>
</cp:coreProperties>
</file>