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254A8E">
        <w:rPr>
          <w:b/>
          <w:sz w:val="24"/>
          <w:szCs w:val="24"/>
        </w:rPr>
        <w:t>АО0002981</w:t>
      </w:r>
      <w:r w:rsidRPr="00BE0A9B">
        <w:rPr>
          <w:b/>
          <w:sz w:val="24"/>
          <w:szCs w:val="24"/>
        </w:rPr>
        <w:t>.</w:t>
      </w:r>
    </w:p>
    <w:p w:rsidR="009B22E7" w:rsidRPr="00BE0A9B" w:rsidRDefault="00254A8E" w:rsidP="009B22E7">
      <w:pPr>
        <w:rPr>
          <w:b/>
          <w:sz w:val="24"/>
          <w:szCs w:val="24"/>
        </w:rPr>
      </w:pPr>
      <w:bookmarkStart w:id="2" w:name="Текущая_дата"/>
      <w:bookmarkEnd w:id="2"/>
      <w:r>
        <w:rPr>
          <w:b/>
          <w:sz w:val="24"/>
          <w:szCs w:val="24"/>
        </w:rPr>
        <w:t>16.09.2022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254A8E">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254A8E">
        <w:rPr>
          <w:b/>
          <w:sz w:val="24"/>
          <w:szCs w:val="24"/>
        </w:rPr>
        <w:t>АО0002981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254A8E"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254A8E">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254A8E">
              <w:rPr>
                <w:sz w:val="24"/>
                <w:szCs w:val="24"/>
              </w:rPr>
              <w:t>Общество с ограниченной ответственностью "Юконт-Альянс"</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254A8E" w:rsidP="000E46A0">
            <w:pPr>
              <w:rPr>
                <w:sz w:val="24"/>
                <w:szCs w:val="24"/>
                <w:lang w:val="en-US"/>
              </w:rPr>
            </w:pPr>
            <w:bookmarkStart w:id="8" w:name="ДопСведение"/>
            <w:bookmarkEnd w:id="8"/>
            <w:r>
              <w:rPr>
                <w:sz w:val="24"/>
                <w:szCs w:val="24"/>
                <w:lang w:val="en-US"/>
              </w:rPr>
              <w:t>В производстве Арбитражного суда города Москвы находится дело№А40-70310/2020-181-525 по иску ПРАВИТЕЛЬСТВА МОСКВЫ и ДЕПАРТАМЕНТА ГОРОДСКОГО ИМУЩЕСТВА ГОРОДА МОСКВЫ к 1) ОБЩЕСТВУ С ОГРАНИЧЕННОЙ ОТВЕТСТВЕННОСТЬЮ "АРДЕЯ" 2) ОБЩЕСТВУ С ОГРАНИЧЕННОЙ ОТВЕТСТВЕННОСТЬЮ "ЮКОНТ-АЛЬЯНС" 3) ООО «ИМПУЛЬС МСК» 4) ООО «ВЕСТ-КАР». Третьи лица: 1. ОБЩЕСТВО С ОГРАНИЧЕННОЙ ОТВЕТСТВЕННОСТЬЮ "КРИСТАЛЛ+К 2003" 2. ЗАКРЫТОЕ АКЦИОНЕРНОЕ ОБЩЕСТВО "ЭВАЛАР" 3. Управление Росреестра по г. Москве 4. Комитет государственного строительного надзора г. Москвы 5. Государственная инспекция по контролю за использованием объектов недвижимости г. Москвы 1. Признать надстройку (нежилое помещение чердака с кадастровым номером 77:06:0009001:2133) площадью 499,4 кв. м здания, расположенного по адресу: г. Москва, ул. Профсоюзная, д. 4, самовольной постройкой. 2. Обязать ООО «Ардея» и ООО «ЮконтАльянс» в месячный срок с момента вступления в законную силу решения суда привести здание с кадастровым номером 77:06:0003003:1013, расположенное по адресу: г. М</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254A8E">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254A8E">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254A8E" w:rsidP="000E46A0">
            <w:pPr>
              <w:rPr>
                <w:rFonts w:cstheme="minorHAnsi"/>
                <w:sz w:val="24"/>
                <w:szCs w:val="24"/>
              </w:rPr>
            </w:pPr>
            <w:bookmarkStart w:id="11" w:name="ДатаНачПриемЗаявки_ддммгг"/>
            <w:bookmarkEnd w:id="11"/>
            <w:r>
              <w:rPr>
                <w:rFonts w:cstheme="minorHAnsi"/>
                <w:sz w:val="24"/>
                <w:szCs w:val="24"/>
              </w:rPr>
              <w:t>03.08.2022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254A8E" w:rsidP="000E46A0">
            <w:pPr>
              <w:rPr>
                <w:sz w:val="24"/>
                <w:szCs w:val="24"/>
              </w:rPr>
            </w:pPr>
            <w:bookmarkStart w:id="13" w:name="ДатаКонПриемЗаявки_ддммгг"/>
            <w:bookmarkEnd w:id="13"/>
            <w:r>
              <w:rPr>
                <w:sz w:val="24"/>
                <w:szCs w:val="24"/>
              </w:rPr>
              <w:t>09.09.2022</w:t>
            </w:r>
            <w:r w:rsidR="004C520C" w:rsidRPr="00BE0A9B">
              <w:rPr>
                <w:sz w:val="24"/>
                <w:szCs w:val="24"/>
              </w:rPr>
              <w:t xml:space="preserve"> года в </w:t>
            </w:r>
            <w:bookmarkStart w:id="14" w:name="ВремяКонПриемЗаявки_ччмм"/>
            <w:bookmarkEnd w:id="14"/>
            <w:r>
              <w:rPr>
                <w:sz w:val="24"/>
                <w:szCs w:val="24"/>
              </w:rPr>
              <w:t>16:00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254A8E" w:rsidP="000E46A0">
            <w:pPr>
              <w:rPr>
                <w:sz w:val="24"/>
                <w:szCs w:val="24"/>
              </w:rPr>
            </w:pPr>
            <w:bookmarkStart w:id="15" w:name="ДатаПубСМИ_ддммгг"/>
            <w:bookmarkEnd w:id="15"/>
            <w:r>
              <w:rPr>
                <w:sz w:val="24"/>
                <w:szCs w:val="24"/>
              </w:rPr>
              <w:t>30.07.2022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254A8E" w:rsidP="000E46A0">
            <w:pPr>
              <w:rPr>
                <w:sz w:val="24"/>
                <w:szCs w:val="24"/>
              </w:rPr>
            </w:pPr>
            <w:bookmarkStart w:id="17" w:name="ДатаПубОрган_ддммгг"/>
            <w:bookmarkEnd w:id="17"/>
            <w:r>
              <w:rPr>
                <w:sz w:val="24"/>
                <w:szCs w:val="24"/>
              </w:rPr>
              <w:t>30.07.2022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254A8E" w:rsidP="000E46A0">
            <w:pPr>
              <w:rPr>
                <w:sz w:val="24"/>
                <w:szCs w:val="24"/>
              </w:rPr>
            </w:pPr>
            <w:bookmarkStart w:id="19" w:name="ДатаПубРеестр_ддммгг"/>
            <w:bookmarkEnd w:id="19"/>
            <w:r>
              <w:rPr>
                <w:sz w:val="24"/>
                <w:szCs w:val="24"/>
              </w:rPr>
              <w:t>25.07.2022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254A8E" w:rsidRDefault="00254A8E" w:rsidP="00254A8E">
            <w:pPr>
              <w:spacing w:after="120" w:line="240" w:lineRule="auto"/>
              <w:contextualSpacing/>
              <w:rPr>
                <w:sz w:val="24"/>
                <w:szCs w:val="24"/>
              </w:rPr>
            </w:pPr>
            <w:r>
              <w:rPr>
                <w:sz w:val="24"/>
                <w:szCs w:val="24"/>
              </w:rPr>
              <w:t>Орлова Наталья Викторовна</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ИНН</w:t>
            </w:r>
          </w:p>
        </w:tc>
        <w:tc>
          <w:tcPr>
            <w:tcW w:w="4786" w:type="dxa"/>
          </w:tcPr>
          <w:p w:rsidR="00254A8E" w:rsidRDefault="00254A8E" w:rsidP="00254A8E">
            <w:pPr>
              <w:spacing w:after="120" w:line="240" w:lineRule="auto"/>
              <w:contextualSpacing/>
              <w:rPr>
                <w:sz w:val="24"/>
                <w:szCs w:val="24"/>
              </w:rPr>
            </w:pPr>
            <w:r>
              <w:rPr>
                <w:sz w:val="24"/>
                <w:szCs w:val="24"/>
              </w:rPr>
              <w:t>340501500791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254A8E" w:rsidRDefault="00254A8E" w:rsidP="00254A8E">
            <w:pPr>
              <w:spacing w:after="120" w:line="240" w:lineRule="auto"/>
              <w:contextualSpacing/>
              <w:rPr>
                <w:sz w:val="24"/>
                <w:szCs w:val="24"/>
                <w:lang w:val="en-US"/>
              </w:rPr>
            </w:pPr>
            <w:r>
              <w:rPr>
                <w:sz w:val="24"/>
                <w:szCs w:val="24"/>
                <w:lang w:val="en-US"/>
              </w:rPr>
              <w:t>Орлова Наталья Викторовна</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lang w:val="en-US"/>
              </w:rPr>
            </w:pPr>
            <w:r>
              <w:rPr>
                <w:sz w:val="24"/>
                <w:szCs w:val="24"/>
                <w:lang w:val="en-US"/>
              </w:rPr>
              <w:t>ИНН</w:t>
            </w:r>
          </w:p>
        </w:tc>
        <w:tc>
          <w:tcPr>
            <w:tcW w:w="4786" w:type="dxa"/>
          </w:tcPr>
          <w:p w:rsidR="00254A8E" w:rsidRDefault="00254A8E" w:rsidP="00254A8E">
            <w:pPr>
              <w:spacing w:after="120" w:line="240" w:lineRule="auto"/>
              <w:contextualSpacing/>
              <w:rPr>
                <w:sz w:val="24"/>
                <w:szCs w:val="24"/>
                <w:lang w:val="en-US"/>
              </w:rPr>
            </w:pPr>
            <w:r>
              <w:rPr>
                <w:sz w:val="24"/>
                <w:szCs w:val="24"/>
                <w:lang w:val="en-US"/>
              </w:rPr>
              <w:t>340501500791</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lang w:val="en-US"/>
              </w:rPr>
            </w:pPr>
            <w:r>
              <w:rPr>
                <w:sz w:val="24"/>
                <w:szCs w:val="24"/>
                <w:lang w:val="en-US"/>
              </w:rPr>
              <w:t>Наименование СРО</w:t>
            </w:r>
          </w:p>
        </w:tc>
        <w:tc>
          <w:tcPr>
            <w:tcW w:w="4786" w:type="dxa"/>
          </w:tcPr>
          <w:p w:rsidR="00254A8E" w:rsidRDefault="00254A8E" w:rsidP="00254A8E">
            <w:pPr>
              <w:spacing w:after="120" w:line="240" w:lineRule="auto"/>
              <w:contextualSpacing/>
              <w:rPr>
                <w:sz w:val="24"/>
                <w:szCs w:val="24"/>
                <w:lang w:val="en-US"/>
              </w:rPr>
            </w:pPr>
            <w:r>
              <w:rPr>
                <w:sz w:val="24"/>
                <w:szCs w:val="24"/>
                <w:lang w:val="en-US"/>
              </w:rPr>
              <w:t>Союз «Эксперт» (298600, Республика Крым, г. Ялта, ул. Садовая,4, ИНН 9102024960, ОГРН 1149102040185, рег. номер в ЕГРСОАУ 0045</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254A8E" w:rsidRDefault="00254A8E" w:rsidP="00254A8E">
            <w:pPr>
              <w:spacing w:after="120" w:line="240" w:lineRule="auto"/>
              <w:contextualSpacing/>
              <w:rPr>
                <w:sz w:val="24"/>
                <w:szCs w:val="24"/>
                <w:lang w:val="en-US"/>
              </w:rPr>
            </w:pPr>
            <w:r>
              <w:rPr>
                <w:sz w:val="24"/>
                <w:szCs w:val="24"/>
                <w:lang w:val="en-US"/>
              </w:rPr>
              <w:t>18209</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254A8E" w:rsidRDefault="00254A8E" w:rsidP="00254A8E">
            <w:pPr>
              <w:spacing w:after="120" w:line="240" w:lineRule="auto"/>
              <w:contextualSpacing/>
              <w:rPr>
                <w:sz w:val="24"/>
                <w:szCs w:val="24"/>
              </w:rPr>
            </w:pPr>
            <w:r>
              <w:rPr>
                <w:sz w:val="24"/>
                <w:szCs w:val="24"/>
              </w:rPr>
              <w:t>Арбитражный суд города Москвы</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Номер дела о банкротстве</w:t>
            </w:r>
          </w:p>
        </w:tc>
        <w:tc>
          <w:tcPr>
            <w:tcW w:w="4786" w:type="dxa"/>
          </w:tcPr>
          <w:p w:rsidR="00254A8E" w:rsidRDefault="00254A8E" w:rsidP="00254A8E">
            <w:pPr>
              <w:spacing w:after="120" w:line="240" w:lineRule="auto"/>
              <w:contextualSpacing/>
              <w:rPr>
                <w:sz w:val="24"/>
                <w:szCs w:val="24"/>
              </w:rPr>
            </w:pPr>
            <w:r>
              <w:rPr>
                <w:sz w:val="24"/>
                <w:szCs w:val="24"/>
              </w:rPr>
              <w:t>А40-174553/2020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Основание для проведения торгов</w:t>
            </w:r>
          </w:p>
        </w:tc>
        <w:tc>
          <w:tcPr>
            <w:tcW w:w="4786" w:type="dxa"/>
          </w:tcPr>
          <w:p w:rsidR="00254A8E" w:rsidRDefault="00254A8E" w:rsidP="00254A8E">
            <w:pPr>
              <w:spacing w:after="120" w:line="240" w:lineRule="auto"/>
              <w:contextualSpacing/>
              <w:rPr>
                <w:sz w:val="24"/>
                <w:szCs w:val="24"/>
              </w:rPr>
            </w:pPr>
            <w:r>
              <w:rPr>
                <w:sz w:val="24"/>
                <w:szCs w:val="24"/>
              </w:rPr>
              <w:t>Решение Арбитражного суда города Москвы от 21.09.2021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254A8E" w:rsidRDefault="00254A8E" w:rsidP="00254A8E">
            <w:pPr>
              <w:spacing w:after="120" w:line="240" w:lineRule="auto"/>
              <w:contextualSpacing/>
              <w:rPr>
                <w:sz w:val="24"/>
                <w:szCs w:val="24"/>
              </w:rPr>
            </w:pPr>
            <w:r>
              <w:rPr>
                <w:sz w:val="24"/>
                <w:szCs w:val="24"/>
              </w:rPr>
              <w:t>Юридическое лицо</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Полное наименование организации</w:t>
            </w:r>
          </w:p>
        </w:tc>
        <w:tc>
          <w:tcPr>
            <w:tcW w:w="4786" w:type="dxa"/>
          </w:tcPr>
          <w:p w:rsidR="00254A8E" w:rsidRDefault="00254A8E" w:rsidP="00254A8E">
            <w:pPr>
              <w:spacing w:after="120" w:line="240" w:lineRule="auto"/>
              <w:contextualSpacing/>
              <w:rPr>
                <w:sz w:val="24"/>
                <w:szCs w:val="24"/>
              </w:rPr>
            </w:pPr>
            <w:r>
              <w:rPr>
                <w:sz w:val="24"/>
                <w:szCs w:val="24"/>
              </w:rPr>
              <w:t>Общество с ограниченной ответственностью "Юконт-Альянс"</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Краткое наименование организации</w:t>
            </w:r>
          </w:p>
        </w:tc>
        <w:tc>
          <w:tcPr>
            <w:tcW w:w="4786" w:type="dxa"/>
          </w:tcPr>
          <w:p w:rsidR="00254A8E" w:rsidRDefault="00254A8E" w:rsidP="00254A8E">
            <w:pPr>
              <w:spacing w:after="120" w:line="240" w:lineRule="auto"/>
              <w:contextualSpacing/>
              <w:rPr>
                <w:sz w:val="24"/>
                <w:szCs w:val="24"/>
              </w:rPr>
            </w:pPr>
            <w:r>
              <w:rPr>
                <w:sz w:val="24"/>
                <w:szCs w:val="24"/>
              </w:rPr>
              <w:t>ООО "Юконт-Альянс"</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ИНН</w:t>
            </w:r>
          </w:p>
        </w:tc>
        <w:tc>
          <w:tcPr>
            <w:tcW w:w="4786" w:type="dxa"/>
          </w:tcPr>
          <w:p w:rsidR="00254A8E" w:rsidRDefault="00254A8E" w:rsidP="00254A8E">
            <w:pPr>
              <w:spacing w:after="120" w:line="240" w:lineRule="auto"/>
              <w:contextualSpacing/>
              <w:rPr>
                <w:sz w:val="24"/>
                <w:szCs w:val="24"/>
              </w:rPr>
            </w:pPr>
            <w:r>
              <w:rPr>
                <w:sz w:val="24"/>
                <w:szCs w:val="24"/>
              </w:rPr>
              <w:t>7705385578</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ОГРН</w:t>
            </w:r>
          </w:p>
        </w:tc>
        <w:tc>
          <w:tcPr>
            <w:tcW w:w="4786" w:type="dxa"/>
          </w:tcPr>
          <w:p w:rsidR="00254A8E" w:rsidRDefault="00254A8E" w:rsidP="00254A8E">
            <w:pPr>
              <w:spacing w:after="120" w:line="240" w:lineRule="auto"/>
              <w:contextualSpacing/>
              <w:rPr>
                <w:sz w:val="24"/>
                <w:szCs w:val="24"/>
              </w:rPr>
            </w:pPr>
            <w:r>
              <w:rPr>
                <w:sz w:val="24"/>
                <w:szCs w:val="24"/>
              </w:rPr>
              <w:t>1027739235700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254A8E" w:rsidRDefault="00254A8E" w:rsidP="00254A8E">
            <w:pPr>
              <w:spacing w:after="120" w:line="240" w:lineRule="auto"/>
              <w:contextualSpacing/>
              <w:rPr>
                <w:sz w:val="24"/>
                <w:szCs w:val="24"/>
              </w:rPr>
            </w:pPr>
            <w:r>
              <w:rPr>
                <w:sz w:val="24"/>
                <w:szCs w:val="24"/>
              </w:rPr>
              <w:t xml:space="preserve">Выигравшим аукцион признается участник, предложивший наиболее высокую цену за продаваемое имущество.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 Если к участию в торгах был допущен только один участник, заявка которого на участие в торгах содержит предложение о цене за лот не ниже установленной начальной цены за лот, договор купли-продажи заключается конкурсным управляющим с этим участником торгов в соответствии с представленным им предложением о цене за лот. Победитель открытых торгов определяется в соответствии с Приказом Министерства экономического развития Российской Федерации от 23.07.2015 № 495. Порядок и срок заключения договора купли-продажи имущества: В течение пяти дней с даты утверждения протокола и определения в отношении доли должника победителя торгов конкурсный управляющий направляет заказным письмом сособственникам имущества предложение (с учетом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254A8E" w:rsidRDefault="00254A8E" w:rsidP="00254A8E">
            <w:pPr>
              <w:spacing w:after="120" w:line="240" w:lineRule="auto"/>
              <w:contextualSpacing/>
              <w:rPr>
                <w:sz w:val="24"/>
                <w:szCs w:val="24"/>
              </w:rPr>
            </w:pPr>
            <w:r>
              <w:rPr>
                <w:sz w:val="24"/>
                <w:szCs w:val="24"/>
              </w:rPr>
              <w:t>Орлова Н.В.</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Контактный телефон</w:t>
            </w:r>
          </w:p>
        </w:tc>
        <w:tc>
          <w:tcPr>
            <w:tcW w:w="4786" w:type="dxa"/>
          </w:tcPr>
          <w:p w:rsidR="00254A8E" w:rsidRDefault="00254A8E" w:rsidP="00254A8E">
            <w:pPr>
              <w:spacing w:after="120" w:line="240" w:lineRule="auto"/>
              <w:contextualSpacing/>
              <w:rPr>
                <w:sz w:val="24"/>
                <w:szCs w:val="24"/>
              </w:rPr>
            </w:pPr>
            <w:r>
              <w:rPr>
                <w:sz w:val="24"/>
                <w:szCs w:val="24"/>
              </w:rPr>
              <w:t>+79173367700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Адрес электронной почты</w:t>
            </w:r>
          </w:p>
        </w:tc>
        <w:tc>
          <w:tcPr>
            <w:tcW w:w="4786" w:type="dxa"/>
          </w:tcPr>
          <w:p w:rsidR="00254A8E" w:rsidRDefault="00254A8E" w:rsidP="00254A8E">
            <w:pPr>
              <w:spacing w:after="120" w:line="240" w:lineRule="auto"/>
              <w:contextualSpacing/>
              <w:rPr>
                <w:sz w:val="24"/>
                <w:szCs w:val="24"/>
              </w:rPr>
            </w:pPr>
            <w:r>
              <w:rPr>
                <w:sz w:val="24"/>
                <w:szCs w:val="24"/>
              </w:rPr>
              <w:t>natalya.orlova2014@mail.ru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254A8E" w:rsidRDefault="00254A8E" w:rsidP="00FE7086">
      <w:pPr>
        <w:spacing w:line="240" w:lineRule="auto"/>
        <w:ind w:firstLine="708"/>
        <w:contextualSpacing/>
        <w:rPr>
          <w:sz w:val="24"/>
          <w:szCs w:val="24"/>
        </w:rPr>
      </w:pPr>
      <w:bookmarkStart w:id="26" w:name="ЛотНазвание_1"/>
      <w:bookmarkEnd w:id="26"/>
    </w:p>
    <w:p w:rsidR="00254A8E" w:rsidRDefault="00254A8E" w:rsidP="00FE7086">
      <w:pPr>
        <w:spacing w:line="240" w:lineRule="auto"/>
        <w:ind w:firstLine="708"/>
        <w:contextualSpacing/>
        <w:rPr>
          <w:sz w:val="24"/>
          <w:szCs w:val="24"/>
        </w:rPr>
      </w:pPr>
      <w:r>
        <w:rPr>
          <w:sz w:val="24"/>
          <w:szCs w:val="24"/>
        </w:rPr>
        <w:t>Лот 2.</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Наименование лота</w:t>
            </w:r>
          </w:p>
        </w:tc>
        <w:tc>
          <w:tcPr>
            <w:tcW w:w="4786" w:type="dxa"/>
          </w:tcPr>
          <w:p w:rsidR="00254A8E" w:rsidRDefault="00254A8E" w:rsidP="00254A8E">
            <w:pPr>
              <w:spacing w:after="120" w:line="240" w:lineRule="auto"/>
              <w:contextualSpacing/>
              <w:rPr>
                <w:sz w:val="24"/>
                <w:szCs w:val="24"/>
              </w:rPr>
            </w:pPr>
            <w:r>
              <w:rPr>
                <w:sz w:val="24"/>
                <w:szCs w:val="24"/>
              </w:rPr>
              <w:t>Имущество ООО "Юконт-Альянс"</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254A8E" w:rsidRDefault="00254A8E" w:rsidP="00254A8E">
            <w:pPr>
              <w:spacing w:after="120" w:line="240" w:lineRule="auto"/>
              <w:contextualSpacing/>
              <w:rPr>
                <w:sz w:val="24"/>
                <w:szCs w:val="24"/>
              </w:rPr>
            </w:pPr>
            <w:r>
              <w:rPr>
                <w:sz w:val="24"/>
                <w:szCs w:val="24"/>
              </w:rPr>
              <w:t>Заявка на участие в торгах составляется в произвольной форме на русском языке и должна содержать следующие сведения: а) наименование, организационно-правовая форма, место нахождения, почтовый адрес заявителя (для юридического лица); б) фамилия, имя, отчество, паспортные данные, сведения о месте жительства заявителя (для физического лица); в) номер контактного телефона, адрес электронной почты заявителя; г)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арбитражный управляющий. Заявка на участие в торгах направляется с помощью программно-аппаратных средств сайта электронной площадки, на которой проводятся торги, в форме электронного сообщения, подписанного квалифицированной электронной подписью заявителя. Для участия в отк</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254A8E" w:rsidRDefault="00254A8E" w:rsidP="00254A8E">
            <w:pPr>
              <w:spacing w:after="120" w:line="240" w:lineRule="auto"/>
              <w:contextualSpacing/>
              <w:rPr>
                <w:sz w:val="24"/>
                <w:szCs w:val="24"/>
              </w:rPr>
            </w:pPr>
            <w:r>
              <w:rPr>
                <w:sz w:val="24"/>
                <w:szCs w:val="24"/>
              </w:rPr>
              <w:t>3/100 доли в общей долевой собственности на Нежилые помещения площадью 499,4 кв.м, по адресу: г. Москва, ул. Профсоюзная, д. 4, кадастровый номер 77:06:0009001:2133</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Начальная цена</w:t>
            </w:r>
          </w:p>
        </w:tc>
        <w:tc>
          <w:tcPr>
            <w:tcW w:w="4786" w:type="dxa"/>
          </w:tcPr>
          <w:p w:rsidR="00254A8E" w:rsidRDefault="00254A8E" w:rsidP="00254A8E">
            <w:pPr>
              <w:spacing w:after="120" w:line="240" w:lineRule="auto"/>
              <w:contextualSpacing/>
              <w:rPr>
                <w:sz w:val="24"/>
                <w:szCs w:val="24"/>
              </w:rPr>
            </w:pPr>
            <w:r>
              <w:rPr>
                <w:sz w:val="24"/>
                <w:szCs w:val="24"/>
              </w:rPr>
              <w:t>2845800,00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Шаг, % от начальной цены</w:t>
            </w:r>
          </w:p>
        </w:tc>
        <w:tc>
          <w:tcPr>
            <w:tcW w:w="4786" w:type="dxa"/>
          </w:tcPr>
          <w:p w:rsidR="00254A8E" w:rsidRDefault="00254A8E" w:rsidP="00254A8E">
            <w:pPr>
              <w:spacing w:after="120" w:line="240" w:lineRule="auto"/>
              <w:contextualSpacing/>
              <w:rPr>
                <w:sz w:val="24"/>
                <w:szCs w:val="24"/>
              </w:rPr>
            </w:pPr>
            <w:r>
              <w:rPr>
                <w:sz w:val="24"/>
                <w:szCs w:val="24"/>
              </w:rPr>
              <w:t>5</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Шаг, руб.</w:t>
            </w:r>
          </w:p>
        </w:tc>
        <w:tc>
          <w:tcPr>
            <w:tcW w:w="4786" w:type="dxa"/>
          </w:tcPr>
          <w:p w:rsidR="00254A8E" w:rsidRDefault="00254A8E" w:rsidP="00254A8E">
            <w:pPr>
              <w:spacing w:after="120" w:line="240" w:lineRule="auto"/>
              <w:contextualSpacing/>
              <w:rPr>
                <w:sz w:val="24"/>
                <w:szCs w:val="24"/>
              </w:rPr>
            </w:pPr>
            <w:r>
              <w:rPr>
                <w:sz w:val="24"/>
                <w:szCs w:val="24"/>
              </w:rPr>
              <w:t>142290,00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Обеспечение задатка</w:t>
            </w:r>
          </w:p>
        </w:tc>
        <w:tc>
          <w:tcPr>
            <w:tcW w:w="4786" w:type="dxa"/>
          </w:tcPr>
          <w:p w:rsidR="00254A8E" w:rsidRDefault="00254A8E" w:rsidP="00254A8E">
            <w:pPr>
              <w:spacing w:after="120" w:line="240" w:lineRule="auto"/>
              <w:contextualSpacing/>
              <w:rPr>
                <w:sz w:val="24"/>
                <w:szCs w:val="24"/>
              </w:rPr>
            </w:pPr>
            <w:r>
              <w:rPr>
                <w:sz w:val="24"/>
                <w:szCs w:val="24"/>
              </w:rPr>
              <w:t>Процент от начальной цены лота</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Размер задатка</w:t>
            </w:r>
          </w:p>
        </w:tc>
        <w:tc>
          <w:tcPr>
            <w:tcW w:w="4786" w:type="dxa"/>
          </w:tcPr>
          <w:p w:rsidR="00254A8E" w:rsidRDefault="00254A8E" w:rsidP="00254A8E">
            <w:pPr>
              <w:spacing w:after="120" w:line="240" w:lineRule="auto"/>
              <w:contextualSpacing/>
              <w:rPr>
                <w:sz w:val="24"/>
                <w:szCs w:val="24"/>
              </w:rPr>
            </w:pPr>
            <w:r>
              <w:rPr>
                <w:sz w:val="24"/>
                <w:szCs w:val="24"/>
              </w:rPr>
              <w:t>10</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Порядок внесения и возврата задатка</w:t>
            </w:r>
          </w:p>
        </w:tc>
        <w:tc>
          <w:tcPr>
            <w:tcW w:w="4786" w:type="dxa"/>
          </w:tcPr>
          <w:p w:rsidR="00254A8E" w:rsidRDefault="00254A8E" w:rsidP="00254A8E">
            <w:pPr>
              <w:spacing w:after="120" w:line="240" w:lineRule="auto"/>
              <w:contextualSpacing/>
              <w:rPr>
                <w:sz w:val="24"/>
                <w:szCs w:val="24"/>
              </w:rPr>
            </w:pPr>
            <w:r>
              <w:rPr>
                <w:sz w:val="24"/>
                <w:szCs w:val="24"/>
              </w:rPr>
              <w:t>Задаток для участия в торгах устанавливается в размере 10 % от начальной цены продажи имущества. Задаток вносится с 03.08.2022 г. с 10.00 часов (МСК) по 09.09.2022 г. 16.00 часов (МСК) на счет: № 40702810211000020980 (ИНН: 7707083893, Банк: Волгоградское отделение №8621 ПАО Сбербанк, КПП: 344402001, БИК: 041806647,Кор. счёт: 3010181000000000647). Задаток должен поступить по указанным реквизитам не позднее даты составления протокола об определении участников торгов (до 16 час. 00 мин. 09.09.2022 г).</w:t>
            </w:r>
          </w:p>
        </w:tc>
      </w:tr>
      <w:tr w:rsidR="00254A8E">
        <w:tblPrEx>
          <w:tblCellMar>
            <w:top w:w="0" w:type="dxa"/>
            <w:bottom w:w="0" w:type="dxa"/>
          </w:tblCellMar>
        </w:tblPrEx>
        <w:tc>
          <w:tcPr>
            <w:tcW w:w="4785" w:type="dxa"/>
          </w:tcPr>
          <w:p w:rsidR="00254A8E" w:rsidRDefault="00254A8E" w:rsidP="00254A8E">
            <w:pPr>
              <w:spacing w:after="120" w:line="240" w:lineRule="auto"/>
              <w:contextualSpacing/>
              <w:rPr>
                <w:sz w:val="24"/>
                <w:szCs w:val="24"/>
              </w:rPr>
            </w:pPr>
            <w:r>
              <w:rPr>
                <w:sz w:val="24"/>
                <w:szCs w:val="24"/>
              </w:rPr>
              <w:t>Счет для внесения задатка</w:t>
            </w:r>
          </w:p>
        </w:tc>
        <w:tc>
          <w:tcPr>
            <w:tcW w:w="4786" w:type="dxa"/>
          </w:tcPr>
          <w:p w:rsidR="00254A8E" w:rsidRDefault="00254A8E" w:rsidP="00254A8E">
            <w:pPr>
              <w:spacing w:after="120" w:line="240" w:lineRule="auto"/>
              <w:contextualSpacing/>
              <w:rPr>
                <w:sz w:val="24"/>
                <w:szCs w:val="24"/>
              </w:rPr>
            </w:pPr>
            <w:r>
              <w:rPr>
                <w:sz w:val="24"/>
                <w:szCs w:val="24"/>
              </w:rPr>
              <w:t>№ 40702810211000020980 (ИНН: 7707083893, Банк: Волгоградское отделение №8621 ПАО Сбербанк, КПП: 344402001, БИК: 041806647,Кор. счёт: 3010181000000000647)</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254A8E">
        <w:rPr>
          <w:sz w:val="24"/>
          <w:szCs w:val="24"/>
        </w:rPr>
        <w:t>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54A8E"/>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77A9ED-BB19-419C-8FC6-031555EA9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4912E-B06A-41CC-9E55-5DEBCBA33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1064</Words>
  <Characters>6069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2022-09-16T04:00:00Z</dcterms:created>
  <dcterms:modified xsi:type="dcterms:W3CDTF">2022-09-16T04:00:00Z</dcterms:modified>
</cp:coreProperties>
</file>