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697AF6">
        <w:rPr>
          <w:b/>
          <w:sz w:val="24"/>
          <w:szCs w:val="24"/>
        </w:rPr>
        <w:t>2955</w:t>
      </w:r>
      <w:r w:rsidR="00424B57">
        <w:rPr>
          <w:b/>
          <w:sz w:val="24"/>
          <w:szCs w:val="24"/>
        </w:rPr>
        <w:t>.</w:t>
      </w:r>
    </w:p>
    <w:p w:rsidR="00320475" w:rsidRPr="00320475" w:rsidRDefault="00697AF6" w:rsidP="00320475">
      <w:pPr>
        <w:contextualSpacing/>
        <w:rPr>
          <w:b/>
          <w:sz w:val="24"/>
          <w:szCs w:val="24"/>
          <w:lang w:val="en-US"/>
        </w:rPr>
      </w:pPr>
      <w:bookmarkStart w:id="2" w:name="Текущая_дата"/>
      <w:bookmarkEnd w:id="2"/>
      <w:r>
        <w:rPr>
          <w:b/>
          <w:sz w:val="24"/>
          <w:szCs w:val="24"/>
          <w:lang w:val="en-US"/>
        </w:rPr>
        <w:t>08.07.2022</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697AF6">
        <w:rPr>
          <w:sz w:val="24"/>
          <w:szCs w:val="24"/>
        </w:rPr>
        <w:t xml:space="preserve">Селезнева  Юлия  Владимировна </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697AF6">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697AF6">
        <w:rPr>
          <w:sz w:val="24"/>
          <w:szCs w:val="24"/>
        </w:rPr>
        <w:t>АО0002955</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697AF6">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697AF6">
        <w:rPr>
          <w:sz w:val="24"/>
          <w:szCs w:val="24"/>
        </w:rPr>
        <w:t>Горбатюк Владимир Николаевич</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697AF6">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697AF6">
        <w:rPr>
          <w:sz w:val="24"/>
          <w:szCs w:val="24"/>
        </w:rPr>
        <w:t>АО0002955</w:t>
      </w:r>
      <w:r w:rsidR="00224412">
        <w:rPr>
          <w:sz w:val="24"/>
          <w:szCs w:val="24"/>
          <w:lang w:val="en-US"/>
        </w:rPr>
        <w:t>.</w:t>
      </w:r>
    </w:p>
    <w:tbl>
      <w:tblPr>
        <w:tblStyle w:val="a5"/>
        <w:tblW w:w="0" w:type="auto"/>
        <w:tblLook w:val="04A0" w:firstRow="1" w:lastRow="0" w:firstColumn="1" w:lastColumn="0" w:noHBand="0" w:noVBand="1"/>
      </w:tblPr>
      <w:tblGrid>
        <w:gridCol w:w="2876"/>
        <w:gridCol w:w="7806"/>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697AF6"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697AF6">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697AF6">
              <w:rPr>
                <w:sz w:val="24"/>
                <w:szCs w:val="24"/>
              </w:rPr>
              <w:t>Горбатюк Владимир Николаевич</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697AF6" w:rsidP="00F000F2">
            <w:pPr>
              <w:contextualSpacing/>
              <w:rPr>
                <w:sz w:val="24"/>
                <w:szCs w:val="24"/>
                <w:lang w:val="en-US"/>
              </w:rPr>
            </w:pPr>
            <w:bookmarkStart w:id="13" w:name="ДопСведение"/>
            <w:bookmarkEnd w:id="13"/>
            <w:r>
              <w:rPr>
                <w:sz w:val="24"/>
                <w:szCs w:val="24"/>
                <w:lang w:val="en-US"/>
              </w:rPr>
              <w:t xml:space="preserve">Имущество обременено залогом в пользу ПАО Сбербанк </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697AF6">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697AF6">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697AF6"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01.06.2022</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10:00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697AF6" w:rsidP="00F000F2">
            <w:pPr>
              <w:contextualSpacing/>
              <w:rPr>
                <w:sz w:val="24"/>
                <w:szCs w:val="24"/>
                <w:lang w:val="en-US"/>
              </w:rPr>
            </w:pPr>
            <w:bookmarkStart w:id="18" w:name="ДатаКонПриемЗаявки_ддммгг"/>
            <w:bookmarkEnd w:id="18"/>
            <w:r>
              <w:rPr>
                <w:sz w:val="24"/>
                <w:szCs w:val="24"/>
              </w:rPr>
              <w:t>08.07.2022</w:t>
            </w:r>
            <w:r w:rsidR="004878B7">
              <w:rPr>
                <w:sz w:val="24"/>
                <w:szCs w:val="24"/>
              </w:rPr>
              <w:t xml:space="preserve"> года в </w:t>
            </w:r>
            <w:bookmarkStart w:id="19" w:name="ВремяКонПриемЗаявки_ччмм"/>
            <w:bookmarkEnd w:id="19"/>
            <w:r>
              <w:rPr>
                <w:sz w:val="24"/>
                <w:szCs w:val="24"/>
              </w:rPr>
              <w:t>11:00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697AF6" w:rsidP="00F000F2">
            <w:pPr>
              <w:contextualSpacing/>
              <w:rPr>
                <w:sz w:val="24"/>
                <w:szCs w:val="24"/>
                <w:lang w:val="en-US"/>
              </w:rPr>
            </w:pPr>
            <w:bookmarkStart w:id="20" w:name="ДатаПубСМИ_ддммгг"/>
            <w:bookmarkEnd w:id="20"/>
            <w:r>
              <w:rPr>
                <w:sz w:val="24"/>
                <w:szCs w:val="24"/>
              </w:rPr>
              <w:t>30.05.2022</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697AF6" w:rsidP="00F000F2">
            <w:pPr>
              <w:contextualSpacing/>
              <w:rPr>
                <w:sz w:val="24"/>
                <w:szCs w:val="24"/>
                <w:lang w:val="en-US"/>
              </w:rPr>
            </w:pPr>
            <w:bookmarkStart w:id="22" w:name="ДатаПубОрган_ддммгг"/>
            <w:bookmarkEnd w:id="22"/>
            <w:r>
              <w:rPr>
                <w:sz w:val="24"/>
                <w:szCs w:val="24"/>
              </w:rPr>
              <w:t>30.05.2022</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697AF6" w:rsidP="00F000F2">
            <w:pPr>
              <w:contextualSpacing/>
              <w:rPr>
                <w:sz w:val="24"/>
                <w:szCs w:val="24"/>
              </w:rPr>
            </w:pPr>
            <w:bookmarkStart w:id="24" w:name="ДатаПубРеестр_ддммгг"/>
            <w:bookmarkEnd w:id="24"/>
            <w:r>
              <w:rPr>
                <w:sz w:val="24"/>
                <w:szCs w:val="24"/>
              </w:rPr>
              <w:t>30.05.2022</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bookmarkStart w:id="26" w:name="ОрганизаторТорги"/>
            <w:bookmarkEnd w:id="26"/>
            <w:r>
              <w:rPr>
                <w:sz w:val="24"/>
                <w:szCs w:val="24"/>
              </w:rPr>
              <w:t>ФИО</w:t>
            </w:r>
          </w:p>
        </w:tc>
        <w:tc>
          <w:tcPr>
            <w:tcW w:w="5341" w:type="dxa"/>
          </w:tcPr>
          <w:p w:rsidR="00697AF6" w:rsidRDefault="00697AF6" w:rsidP="00697AF6">
            <w:pPr>
              <w:spacing w:after="120" w:line="240" w:lineRule="auto"/>
              <w:contextualSpacing/>
              <w:rPr>
                <w:sz w:val="24"/>
                <w:szCs w:val="24"/>
              </w:rPr>
            </w:pPr>
            <w:r>
              <w:rPr>
                <w:sz w:val="24"/>
                <w:szCs w:val="24"/>
              </w:rPr>
              <w:t xml:space="preserve">Селезнева  Юлия  Владимировна </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r>
              <w:rPr>
                <w:sz w:val="24"/>
                <w:szCs w:val="24"/>
              </w:rPr>
              <w:t>ИНН</w:t>
            </w:r>
          </w:p>
        </w:tc>
        <w:tc>
          <w:tcPr>
            <w:tcW w:w="5341" w:type="dxa"/>
          </w:tcPr>
          <w:p w:rsidR="00697AF6" w:rsidRDefault="00697AF6" w:rsidP="00697AF6">
            <w:pPr>
              <w:spacing w:after="120" w:line="240" w:lineRule="auto"/>
              <w:contextualSpacing/>
              <w:rPr>
                <w:sz w:val="24"/>
                <w:szCs w:val="24"/>
              </w:rPr>
            </w:pPr>
            <w:r>
              <w:rPr>
                <w:sz w:val="24"/>
                <w:szCs w:val="24"/>
              </w:rPr>
              <w:t>781433467686</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bookmarkStart w:id="27" w:name="Арбитр"/>
            <w:bookmarkEnd w:id="27"/>
            <w:r>
              <w:rPr>
                <w:sz w:val="24"/>
                <w:szCs w:val="24"/>
              </w:rPr>
              <w:t>ФИО</w:t>
            </w:r>
          </w:p>
        </w:tc>
        <w:tc>
          <w:tcPr>
            <w:tcW w:w="5341" w:type="dxa"/>
          </w:tcPr>
          <w:p w:rsidR="00697AF6" w:rsidRDefault="00697AF6" w:rsidP="00697AF6">
            <w:pPr>
              <w:spacing w:after="120" w:line="240" w:lineRule="auto"/>
              <w:contextualSpacing/>
              <w:rPr>
                <w:sz w:val="24"/>
                <w:szCs w:val="24"/>
              </w:rPr>
            </w:pPr>
            <w:r>
              <w:rPr>
                <w:sz w:val="24"/>
                <w:szCs w:val="24"/>
              </w:rPr>
              <w:t>Селезнева Юлия Владимировна</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r>
              <w:rPr>
                <w:sz w:val="24"/>
                <w:szCs w:val="24"/>
              </w:rPr>
              <w:t>ИНН</w:t>
            </w:r>
          </w:p>
        </w:tc>
        <w:tc>
          <w:tcPr>
            <w:tcW w:w="5341" w:type="dxa"/>
          </w:tcPr>
          <w:p w:rsidR="00697AF6" w:rsidRDefault="00697AF6" w:rsidP="00697AF6">
            <w:pPr>
              <w:spacing w:after="120" w:line="240" w:lineRule="auto"/>
              <w:contextualSpacing/>
              <w:rPr>
                <w:sz w:val="24"/>
                <w:szCs w:val="24"/>
              </w:rPr>
            </w:pPr>
            <w:r>
              <w:rPr>
                <w:sz w:val="24"/>
                <w:szCs w:val="24"/>
              </w:rPr>
              <w:t>781433467686</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r>
              <w:rPr>
                <w:sz w:val="24"/>
                <w:szCs w:val="24"/>
              </w:rPr>
              <w:t>Наименование СРО</w:t>
            </w:r>
          </w:p>
        </w:tc>
        <w:tc>
          <w:tcPr>
            <w:tcW w:w="5341" w:type="dxa"/>
          </w:tcPr>
          <w:p w:rsidR="00697AF6" w:rsidRDefault="00697AF6" w:rsidP="00697AF6">
            <w:pPr>
              <w:spacing w:after="120" w:line="240" w:lineRule="auto"/>
              <w:contextualSpacing/>
              <w:rPr>
                <w:sz w:val="24"/>
                <w:szCs w:val="24"/>
              </w:rPr>
            </w:pPr>
            <w:r>
              <w:rPr>
                <w:sz w:val="24"/>
                <w:szCs w:val="24"/>
              </w:rPr>
              <w:t>Крымский союз ПАУ "ЭКСПЕРТ"</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r>
              <w:rPr>
                <w:sz w:val="24"/>
                <w:szCs w:val="24"/>
              </w:rPr>
              <w:t>Регистрационный номер ФРС</w:t>
            </w:r>
          </w:p>
        </w:tc>
        <w:tc>
          <w:tcPr>
            <w:tcW w:w="5341" w:type="dxa"/>
          </w:tcPr>
          <w:p w:rsidR="00697AF6" w:rsidRDefault="00697AF6" w:rsidP="00697AF6">
            <w:pPr>
              <w:spacing w:after="120" w:line="240" w:lineRule="auto"/>
              <w:contextualSpacing/>
              <w:rPr>
                <w:sz w:val="24"/>
                <w:szCs w:val="24"/>
              </w:rPr>
            </w:pPr>
            <w:r>
              <w:rPr>
                <w:sz w:val="24"/>
                <w:szCs w:val="24"/>
              </w:rPr>
              <w:t>17082</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697AF6" w:rsidRDefault="00697AF6" w:rsidP="00697AF6">
            <w:pPr>
              <w:spacing w:after="120" w:line="240" w:lineRule="auto"/>
              <w:contextualSpacing/>
              <w:rPr>
                <w:sz w:val="24"/>
                <w:szCs w:val="24"/>
              </w:rPr>
            </w:pPr>
            <w:r>
              <w:rPr>
                <w:sz w:val="24"/>
                <w:szCs w:val="24"/>
              </w:rPr>
              <w:t>Арбитражный суд города Санкт-Петербурга и Ленинградской области</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r>
              <w:rPr>
                <w:sz w:val="24"/>
                <w:szCs w:val="24"/>
              </w:rPr>
              <w:t>Номер дела о банкротстве</w:t>
            </w:r>
          </w:p>
        </w:tc>
        <w:tc>
          <w:tcPr>
            <w:tcW w:w="5341" w:type="dxa"/>
          </w:tcPr>
          <w:p w:rsidR="00697AF6" w:rsidRDefault="00697AF6" w:rsidP="00697AF6">
            <w:pPr>
              <w:spacing w:after="120" w:line="240" w:lineRule="auto"/>
              <w:contextualSpacing/>
              <w:rPr>
                <w:sz w:val="24"/>
                <w:szCs w:val="24"/>
              </w:rPr>
            </w:pPr>
            <w:r>
              <w:rPr>
                <w:sz w:val="24"/>
                <w:szCs w:val="24"/>
              </w:rPr>
              <w:t>А56-8967/2020</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r>
              <w:rPr>
                <w:sz w:val="24"/>
                <w:szCs w:val="24"/>
              </w:rPr>
              <w:t>Основание для проведения торгов</w:t>
            </w:r>
          </w:p>
        </w:tc>
        <w:tc>
          <w:tcPr>
            <w:tcW w:w="5341" w:type="dxa"/>
          </w:tcPr>
          <w:p w:rsidR="00697AF6" w:rsidRDefault="00697AF6" w:rsidP="00697AF6">
            <w:pPr>
              <w:spacing w:after="120" w:line="240" w:lineRule="auto"/>
              <w:contextualSpacing/>
              <w:rPr>
                <w:sz w:val="24"/>
                <w:szCs w:val="24"/>
              </w:rPr>
            </w:pPr>
            <w:r>
              <w:rPr>
                <w:sz w:val="24"/>
                <w:szCs w:val="24"/>
              </w:rPr>
              <w:t>Положениео торгах, утвержденное залоговым кредитором ПАО "Сбербанк"</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697AF6" w:rsidRDefault="00697AF6" w:rsidP="00697AF6">
            <w:pPr>
              <w:spacing w:after="120" w:line="240" w:lineRule="auto"/>
              <w:contextualSpacing/>
              <w:rPr>
                <w:sz w:val="24"/>
                <w:szCs w:val="24"/>
              </w:rPr>
            </w:pPr>
            <w:r>
              <w:rPr>
                <w:sz w:val="24"/>
                <w:szCs w:val="24"/>
              </w:rPr>
              <w:t>Индивидуальный предприниматель</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r>
              <w:rPr>
                <w:sz w:val="24"/>
                <w:szCs w:val="24"/>
              </w:rPr>
              <w:t>ФИО</w:t>
            </w:r>
          </w:p>
        </w:tc>
        <w:tc>
          <w:tcPr>
            <w:tcW w:w="5341" w:type="dxa"/>
          </w:tcPr>
          <w:p w:rsidR="00697AF6" w:rsidRDefault="00697AF6" w:rsidP="00697AF6">
            <w:pPr>
              <w:spacing w:after="120" w:line="240" w:lineRule="auto"/>
              <w:contextualSpacing/>
              <w:rPr>
                <w:sz w:val="24"/>
                <w:szCs w:val="24"/>
              </w:rPr>
            </w:pPr>
            <w:r>
              <w:rPr>
                <w:sz w:val="24"/>
                <w:szCs w:val="24"/>
              </w:rPr>
              <w:t>Горбатюк Владимир Николаевич</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r>
              <w:rPr>
                <w:sz w:val="24"/>
                <w:szCs w:val="24"/>
              </w:rPr>
              <w:t>ИНН</w:t>
            </w:r>
          </w:p>
        </w:tc>
        <w:tc>
          <w:tcPr>
            <w:tcW w:w="5341" w:type="dxa"/>
          </w:tcPr>
          <w:p w:rsidR="00697AF6" w:rsidRDefault="00697AF6" w:rsidP="00697AF6">
            <w:pPr>
              <w:spacing w:after="120" w:line="240" w:lineRule="auto"/>
              <w:contextualSpacing/>
              <w:rPr>
                <w:sz w:val="24"/>
                <w:szCs w:val="24"/>
              </w:rPr>
            </w:pPr>
            <w:r>
              <w:rPr>
                <w:sz w:val="24"/>
                <w:szCs w:val="24"/>
              </w:rPr>
              <w:t>781308822647</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r>
              <w:rPr>
                <w:sz w:val="24"/>
                <w:szCs w:val="24"/>
              </w:rPr>
              <w:t>ОГРНИП</w:t>
            </w:r>
          </w:p>
        </w:tc>
        <w:tc>
          <w:tcPr>
            <w:tcW w:w="5341" w:type="dxa"/>
          </w:tcPr>
          <w:p w:rsidR="00697AF6" w:rsidRDefault="00697AF6" w:rsidP="00697AF6">
            <w:pPr>
              <w:spacing w:after="120" w:line="240" w:lineRule="auto"/>
              <w:contextualSpacing/>
              <w:rPr>
                <w:sz w:val="24"/>
                <w:szCs w:val="24"/>
              </w:rPr>
            </w:pPr>
            <w:r>
              <w:rPr>
                <w:sz w:val="24"/>
                <w:szCs w:val="24"/>
              </w:rPr>
              <w:t>312603005500024</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697AF6" w:rsidRDefault="00697AF6" w:rsidP="00697AF6">
            <w:pPr>
              <w:spacing w:after="120" w:line="240" w:lineRule="auto"/>
              <w:contextualSpacing/>
              <w:rPr>
                <w:sz w:val="24"/>
                <w:szCs w:val="24"/>
              </w:rPr>
            </w:pPr>
            <w:r>
              <w:rPr>
                <w:sz w:val="24"/>
                <w:szCs w:val="24"/>
              </w:rPr>
              <w:t>Договор купли-продажи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купли-продажи.Срок оплаты за приобретенное имущество не должен превышать 30 дней со дня заключения договора купли-продажи.</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697AF6" w:rsidRDefault="00697AF6" w:rsidP="00697AF6">
            <w:pPr>
              <w:spacing w:after="120" w:line="240" w:lineRule="auto"/>
              <w:contextualSpacing/>
              <w:rPr>
                <w:sz w:val="24"/>
                <w:szCs w:val="24"/>
              </w:rPr>
            </w:pPr>
            <w:r>
              <w:rPr>
                <w:sz w:val="24"/>
                <w:szCs w:val="24"/>
              </w:rPr>
              <w:t>Селезнева Юлия Владимировна</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r>
              <w:rPr>
                <w:sz w:val="24"/>
                <w:szCs w:val="24"/>
              </w:rPr>
              <w:t>Контактный телефон</w:t>
            </w:r>
          </w:p>
        </w:tc>
        <w:tc>
          <w:tcPr>
            <w:tcW w:w="5341" w:type="dxa"/>
          </w:tcPr>
          <w:p w:rsidR="00697AF6" w:rsidRDefault="00697AF6" w:rsidP="00697AF6">
            <w:pPr>
              <w:spacing w:after="120" w:line="240" w:lineRule="auto"/>
              <w:contextualSpacing/>
              <w:rPr>
                <w:sz w:val="24"/>
                <w:szCs w:val="24"/>
              </w:rPr>
            </w:pPr>
            <w:r>
              <w:rPr>
                <w:sz w:val="24"/>
                <w:szCs w:val="24"/>
              </w:rPr>
              <w:t>+79219393315</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sz w:val="24"/>
                <w:szCs w:val="24"/>
              </w:rPr>
            </w:pPr>
            <w:r>
              <w:rPr>
                <w:sz w:val="24"/>
                <w:szCs w:val="24"/>
              </w:rPr>
              <w:t>Адрес электронной почты</w:t>
            </w:r>
          </w:p>
        </w:tc>
        <w:tc>
          <w:tcPr>
            <w:tcW w:w="5341" w:type="dxa"/>
          </w:tcPr>
          <w:p w:rsidR="00697AF6" w:rsidRDefault="00697AF6" w:rsidP="00697AF6">
            <w:pPr>
              <w:spacing w:after="120" w:line="240" w:lineRule="auto"/>
              <w:contextualSpacing/>
              <w:rPr>
                <w:sz w:val="24"/>
                <w:szCs w:val="24"/>
              </w:rPr>
            </w:pPr>
            <w:r>
              <w:rPr>
                <w:sz w:val="24"/>
                <w:szCs w:val="24"/>
              </w:rPr>
              <w:t>89219393315@mail.ru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697AF6" w:rsidRDefault="00697AF6"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697AF6">
        <w:tblPrEx>
          <w:tblCellMar>
            <w:top w:w="0" w:type="dxa"/>
            <w:bottom w:w="0" w:type="dxa"/>
          </w:tblCellMar>
        </w:tblPrEx>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 xml:space="preserve">Залоговое имущество должника ИП ГКФХ Горбатюка В.Н,  </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 xml:space="preserve">К участию в торгах допускаются лица, которые могут быть признаны покупателями по законодательству РФ, подавшие заявки на участие в торгах, соответствующие действующему законодательству РФ. Заявка на участие в торгах оформляется в соответствии с действующим законодательством Российской Федерации и Регламентом ЭТП на русском языке и должна содержать указанные в сообщении о проведении торгов следующие сведения: обязательство заявителя соблюдать требования, указанные в настоящем сообщении; наименование, организационно-правовую форму, место нахождения, почт. адрес (для юридического лица) заявителя; фамилию, имя, отчество, паспортные данные, сведения о месте жительства (для физического лица) заявителя; номер контактного телефона, ИНН, адрес электронной почты заявителя; банковские реквизиты для возврата задатка. Заявка на участие в торгах должна содержать предложение о цене имущества должника,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сведения о заявителе, саморегулируемой организации арбитражных управляющих, членом или руководителем которой является финансовый управляющий. К участию в торгах допускаются заявители, до окончания срока подачи заявок представившие надлежащим образом оформленную заявку в форме электронного документа по месту проведения торгов, в соответствии с Законом о банкротстве, «Порядком проведения торов в электронной форме по продаже имущества или предприятия должников в ходе процедур, применяемых в деле о банкротстве», являющимся Приложением №1 к Приказу Минэкономразвития России от 23.07.2015 № 495, регламентом электронной площадки, Положением о порядке, о сроках и об условиях продажи имущества должника, утвержденное собранием кредиторов, и оплатившие задаток для участия в торгах по указанным реквизитам, обеспечив его поступление на указанный счет в срок не позднее даты составления протокола об определении участников торгов (момент составления протокола об определении участников торгов совпадает с датой и временем окончания подачи заявок на участие в торгах). К заявке на участие в торгах должны прилагаться документы согласно требованиям, установленным действующим законодательством РФ и Регламентом электронной площадки, в т.ч. (но не ограничиваясь этим): документ с отметкой банка, подтверждающий внесение задатка; копия договора о задатке; действительная на день представления заявки на участие Выписка из ЕГРЮЛ (для юр. лиц) или из ЕГРИП (для ИП), датированная не ранее, чем за 30 дней до момента подачи заявки на участие, или засвидетельствованная в нотариальном порядке копия такой выписки; копии документов, удостоверяющих личность (для физ. лиц); надлежащим образом заверенный перевод на русский язык документов о гос.регистрации юр.лица или гос.регистрации физ.лица в качестве ИП в соответствии с законодательством соответствующего государства (для иностранных лиц); документ, подтверждающий полномочия лица на осуществление действий от имени заявителя; документы, подтверждающие полномочия органов управления и/или должностных лиц заявителя; решения об одобрении или о совершении крупной сделки по внесению денежных средств в качестве задатка и по приобретению данного имущества на торгах по определённой цене, если требование о необходимости наличия такого решения для совершения сделки установлено законодательством РФ и (или)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 Документы, прилагаемые к заявке на участие в торгах, представляются в форме электронных документов, подписанных электронной подписью. Заявитель вправе отозвать заявку на участие в торгах не позднее окончания срока представления заявок на участие в торгах, направив об этом уведомление оператору электронной площадки (для первых и повторных торгов).  </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 xml:space="preserve">Земельный участок, кадастровый номер 60:23:0080602:11, площадью 1 500 кв.м., категория земель: земли населённых пунктов, разрешённое использование: для ведения личного подсобного хозяйства, расположенный по адресу: Псковская область, Струго-Красненский район, СП "Цапельная волость", деревня Маяково, ул. Ленинградская, д.12  </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56700,00</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5</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Шаг, руб.</w:t>
            </w:r>
          </w:p>
        </w:tc>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2835,00</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10</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 xml:space="preserve">Задаток должен быть внесен Претендентом не позднее даты, указанной в сообщении о продаже Имущества должника и должен поступить на расчетный счет, указанный в п.1 Договора о задатке не позднее даты, указанной в сообщении о продаже Имущества должника. Задаток считается внесенным с даты поступления всей суммы Задатка на указанный счет. В случае, когда сумма Задатка от Претендента не зачислена на расчетный счет на дату, указанную в сообщении о продаже Имущества должника, Претендент не допускается к участию в торгах. Представление Претендентом платежных документов с отметкой банка отправителя об исполнении при этом во внимание Организатором торгов не принимается. Договор о задатке может быть подписан Претендентом электронной подписью Претендента либо Претендент вправе направить задаток на счет, указанный в п. 1 Договора о задатке без подписания настоящего Договора электронной подписью Претендента (в этом случае перечисление задатка Претендентом в соответствии с сообщением о проведении торгов считается акцептом договора о задатке). В случае наступления оснований для возврата Задатка Претенденту, возврат производится путем перевода денежных средств Организатором торгов Претенденту в размере суммы Задатка за исключением комиссии банка по переводу.  </w:t>
            </w:r>
          </w:p>
        </w:tc>
      </w:tr>
      <w:tr w:rsidR="00697AF6">
        <w:tblPrEx>
          <w:tblCellMar>
            <w:top w:w="0" w:type="dxa"/>
            <w:bottom w:w="0" w:type="dxa"/>
          </w:tblCellMar>
        </w:tblPrEx>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697AF6" w:rsidRDefault="00697AF6" w:rsidP="00697AF6">
            <w:pPr>
              <w:spacing w:after="120" w:line="240" w:lineRule="auto"/>
              <w:contextualSpacing/>
              <w:rPr>
                <w:rFonts w:cstheme="minorHAnsi"/>
                <w:sz w:val="24"/>
                <w:szCs w:val="24"/>
              </w:rPr>
            </w:pPr>
            <w:r>
              <w:rPr>
                <w:rFonts w:cstheme="minorHAnsi"/>
                <w:sz w:val="24"/>
                <w:szCs w:val="24"/>
              </w:rPr>
              <w:t xml:space="preserve">Задаток перечисляется на расчетный счет должника: № 40817810855174877382 в Северо-Западном банке ПАО Сбербанк, БИК 044030653, корр. счёт 30101810500000000653, получатель Горбатюк Владимир Николаевич ИНН 781308822647, ОГРНИП 312603005500024 </w:t>
            </w: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3" w:name="ЛотНазвание_2"/>
      <w:bookmarkEnd w:id="33"/>
      <w:r>
        <w:rPr>
          <w:rFonts w:cstheme="minorHAnsi"/>
          <w:sz w:val="24"/>
          <w:szCs w:val="24"/>
        </w:rPr>
        <w:t xml:space="preserve"> </w:t>
      </w:r>
      <w:bookmarkStart w:id="34" w:name="Лот_2"/>
      <w:bookmarkEnd w:id="34"/>
      <w:r w:rsidR="00B519CB">
        <w:rPr>
          <w:rFonts w:cstheme="minorHAnsi"/>
          <w:sz w:val="24"/>
          <w:szCs w:val="24"/>
        </w:rPr>
        <w:t xml:space="preserve"> </w:t>
      </w:r>
      <w:bookmarkStart w:id="35" w:name="ЛотНазвание_3"/>
      <w:bookmarkEnd w:id="35"/>
      <w:r w:rsidR="00B519CB">
        <w:rPr>
          <w:rFonts w:cstheme="minorHAnsi"/>
          <w:sz w:val="24"/>
          <w:szCs w:val="24"/>
        </w:rPr>
        <w:t xml:space="preserve"> </w:t>
      </w:r>
      <w:bookmarkStart w:id="36" w:name="Лот_3"/>
      <w:bookmarkEnd w:id="36"/>
      <w:r w:rsidR="00B519CB">
        <w:rPr>
          <w:rFonts w:cstheme="minorHAnsi"/>
          <w:sz w:val="24"/>
          <w:szCs w:val="24"/>
        </w:rPr>
        <w:t xml:space="preserve"> </w:t>
      </w:r>
      <w:bookmarkStart w:id="37" w:name="ЛотНазвание_4"/>
      <w:bookmarkEnd w:id="37"/>
      <w:r w:rsidR="00B519CB">
        <w:rPr>
          <w:rFonts w:cstheme="minorHAnsi"/>
          <w:sz w:val="24"/>
          <w:szCs w:val="24"/>
        </w:rPr>
        <w:t xml:space="preserve"> </w:t>
      </w:r>
      <w:bookmarkStart w:id="38" w:name="Лот_4"/>
      <w:bookmarkEnd w:id="38"/>
      <w:r w:rsidR="00B519CB">
        <w:rPr>
          <w:rFonts w:cstheme="minorHAnsi"/>
          <w:sz w:val="24"/>
          <w:szCs w:val="24"/>
        </w:rPr>
        <w:t xml:space="preserve"> </w:t>
      </w:r>
      <w:bookmarkStart w:id="39" w:name="ЛотНазвание_5"/>
      <w:bookmarkEnd w:id="39"/>
      <w:r w:rsidR="00B519CB">
        <w:rPr>
          <w:rFonts w:cstheme="minorHAnsi"/>
          <w:sz w:val="24"/>
          <w:szCs w:val="24"/>
        </w:rPr>
        <w:t xml:space="preserve"> </w:t>
      </w:r>
      <w:bookmarkStart w:id="40" w:name="Лот_5"/>
      <w:bookmarkEnd w:id="40"/>
      <w:r w:rsidR="00B519CB">
        <w:rPr>
          <w:rFonts w:cstheme="minorHAnsi"/>
          <w:sz w:val="24"/>
          <w:szCs w:val="24"/>
        </w:rPr>
        <w:t xml:space="preserve"> </w:t>
      </w:r>
      <w:bookmarkStart w:id="41" w:name="ЛотНазвание_6"/>
      <w:bookmarkEnd w:id="41"/>
      <w:r w:rsidR="00B519CB">
        <w:rPr>
          <w:rFonts w:cstheme="minorHAnsi"/>
          <w:sz w:val="24"/>
          <w:szCs w:val="24"/>
        </w:rPr>
        <w:t xml:space="preserve"> </w:t>
      </w:r>
      <w:bookmarkStart w:id="42" w:name="Лот_6"/>
      <w:bookmarkEnd w:id="42"/>
      <w:r w:rsidR="00B519CB">
        <w:rPr>
          <w:rFonts w:cstheme="minorHAnsi"/>
          <w:sz w:val="24"/>
          <w:szCs w:val="24"/>
        </w:rPr>
        <w:t xml:space="preserve"> </w:t>
      </w:r>
      <w:bookmarkStart w:id="43" w:name="ЛотНазвание_7"/>
      <w:bookmarkEnd w:id="43"/>
      <w:r w:rsidR="00B519CB">
        <w:rPr>
          <w:rFonts w:cstheme="minorHAnsi"/>
          <w:sz w:val="24"/>
          <w:szCs w:val="24"/>
        </w:rPr>
        <w:t xml:space="preserve"> </w:t>
      </w:r>
      <w:bookmarkStart w:id="44" w:name="Лот_7"/>
      <w:bookmarkEnd w:id="44"/>
      <w:r w:rsidR="00B519CB">
        <w:rPr>
          <w:rFonts w:cstheme="minorHAnsi"/>
          <w:sz w:val="24"/>
          <w:szCs w:val="24"/>
        </w:rPr>
        <w:t xml:space="preserve"> </w:t>
      </w:r>
      <w:bookmarkStart w:id="45" w:name="ЛотНазвание_8"/>
      <w:bookmarkEnd w:id="45"/>
      <w:r w:rsidR="00B519CB">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697AF6"/>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C7FB4D-A2D8-4D60-BDD1-7B3D9FF9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7563F-6677-4A6B-B86F-455D94BAF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1334</Words>
  <Characters>7605</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2022-07-08T19:20:00Z</dcterms:created>
  <dcterms:modified xsi:type="dcterms:W3CDTF">2022-07-08T19:20:00Z</dcterms:modified>
</cp:coreProperties>
</file>