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5165A5">
        <w:rPr>
          <w:b/>
          <w:sz w:val="24"/>
          <w:szCs w:val="24"/>
        </w:rPr>
        <w:t>2846</w:t>
      </w:r>
      <w:r w:rsidR="00424B57">
        <w:rPr>
          <w:b/>
          <w:sz w:val="24"/>
          <w:szCs w:val="24"/>
        </w:rPr>
        <w:t>.</w:t>
      </w:r>
    </w:p>
    <w:p w:rsidR="00320475" w:rsidRPr="00320475" w:rsidRDefault="005165A5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13.07.2021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5165A5">
        <w:rPr>
          <w:sz w:val="24"/>
          <w:szCs w:val="24"/>
        </w:rPr>
        <w:t>Федорова Марина Александровна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5165A5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5165A5">
        <w:rPr>
          <w:sz w:val="24"/>
          <w:szCs w:val="24"/>
        </w:rPr>
        <w:t>АО0002846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5165A5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5165A5">
        <w:rPr>
          <w:sz w:val="24"/>
          <w:szCs w:val="24"/>
        </w:rPr>
        <w:t>Крыжный Сергей Александрович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5165A5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5165A5">
        <w:rPr>
          <w:sz w:val="24"/>
          <w:szCs w:val="24"/>
        </w:rPr>
        <w:t>АО0002846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9"/>
        <w:gridCol w:w="7813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5165A5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5165A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5165A5">
              <w:rPr>
                <w:sz w:val="24"/>
                <w:szCs w:val="24"/>
              </w:rPr>
              <w:t>Крыжный Сергей Александрович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5165A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Крыжного Сергея Александровича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5165A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5165A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5165A5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12.07.2021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5165A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16.08.2021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5165A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09.07.2021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5165A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09.07.2021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5165A5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09.07.2021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Волгоградской области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А12-15621/2020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Волгоградской области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Крыжный Сергей Александрович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341011372091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89962041780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5165A5" w:rsidRDefault="005165A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Дом и участок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Здание жилое, кадастровый номер 34:10:190001:1071, Россия, обл. Волгоградская, Камышинский р-н, с. Таловка, пер. Заречный, д. 5; г. Земельный участок, кадастровый номер 34:10:190001:0534, Россия, обл. Волгоградская, Камышинский р-н, с. Таловка, пер. Заречный, д. 5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80000,00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8000,00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целях участия в торгах заявитель должен перечислить задаток в размере 20 % начальной цены продажи лота по указанным реквизитам.Суммы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5165A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5165A5" w:rsidRDefault="005165A5" w:rsidP="005165A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Банк получателя: Волгоградское отделение №8621 ПАО Сбербанк БИК: 041806647 К/счет: 30101810100000000647 Получатель: Крыжный Сергей Александрович Счет получателя: 40817810011002343103 Назначение платежа: внесение задатка за имущество должника Крыжного Сергея Александровича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165A5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225D-56FD-45E6-B939-1B6FCC1B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2021-07-13T11:21:00Z</dcterms:created>
  <dcterms:modified xsi:type="dcterms:W3CDTF">2021-07-13T11:21:00Z</dcterms:modified>
</cp:coreProperties>
</file>