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471B7C">
        <w:rPr>
          <w:b/>
          <w:sz w:val="24"/>
          <w:szCs w:val="24"/>
        </w:rPr>
        <w:t>2829</w:t>
      </w:r>
      <w:r w:rsidR="00424B57">
        <w:rPr>
          <w:b/>
          <w:sz w:val="24"/>
          <w:szCs w:val="24"/>
        </w:rPr>
        <w:t>.</w:t>
      </w:r>
    </w:p>
    <w:p w:rsidR="00320475" w:rsidRPr="00320475" w:rsidRDefault="00471B7C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31.05.2021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471B7C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471B7C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471B7C">
        <w:rPr>
          <w:sz w:val="24"/>
          <w:szCs w:val="24"/>
        </w:rPr>
        <w:t>АО0002829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471B7C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471B7C">
        <w:rPr>
          <w:sz w:val="24"/>
          <w:szCs w:val="24"/>
        </w:rPr>
        <w:t>Арестов Андрей Борисович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471B7C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471B7C">
        <w:rPr>
          <w:sz w:val="24"/>
          <w:szCs w:val="24"/>
        </w:rPr>
        <w:t>АО0002829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471B7C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471B7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471B7C">
              <w:rPr>
                <w:sz w:val="24"/>
                <w:szCs w:val="24"/>
              </w:rPr>
              <w:t>Арестов Андрей Борисович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471B7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Арестова Андрея Борисовича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471B7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471B7C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471B7C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31.05.2021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471B7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07.07.2021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471B7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28.05.2021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11:02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471B7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28.05.2021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471B7C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28.05.2021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А57-18955/2020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 утверждении положения о порядке реализации</w:t>
            </w:r>
          </w:p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 гражданина от 19.05.2021 по делу А57-18955/2020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 Андрей Борисович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640201377859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Получатель: Арестов Андрей Борисович</w:t>
            </w:r>
          </w:p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7707083893</w:t>
            </w:r>
          </w:p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 645502001</w:t>
            </w:r>
          </w:p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ПОВОЛЖСКИЙ БАНК ПАО СБЕРБАНК г. Самара</w:t>
            </w:r>
          </w:p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043601607</w:t>
            </w:r>
          </w:p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Кор. счет: 30101810200000000607</w:t>
            </w:r>
          </w:p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Счет: 40817810656002891917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 Сергей Владимирович 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89170296269 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471B7C" w:rsidRDefault="00471B7C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 для сельскохозяйственного производства, площадью 140 000 кв. м.. Расположенный: Саратовская область, р-н Аркадакский, на землях сельскохозяйственной артели «Алексеевская». Собственность. Кадастровый номер: 64:02:190211:305.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 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 для сельскохозяйственного производства, площадью 140 000 кв. м.. Расположенный: Саратовская область, р-н Аркадакский, на землях сельскохозяйственной артели «Алексеевская». Собственность. Кадастровый номер: 64:02:190211:305.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189980,00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18998,00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Внесение задатка осуществляется по следующим реквизитам: Получатель: Арестов Андрей Борисович ИНН: 7707083893 КПП: 645502001 Банк: ПОВОЛЖСКИЙ БАНК ПАО СБЕРБАНК г. Самара БИК: 043601607 Кор. счет: 30101810200000000607 Счет: 40817810656002891917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471B7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1B7C" w:rsidRDefault="00471B7C" w:rsidP="00471B7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Получатель: Арестов Андрей Борисович ИНН: 7707083893 КПП: 645502001 Банк: ПОВОЛЖСКИЙ БАНК ПАО СБЕРБАНК г. Самара БИК: 043601607 Кор. счет: 30101810200000000607 Счет: 40817810656002891917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1B7C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29F8-D565-493D-BDAD-2E913B22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2021-05-31T09:06:00Z</dcterms:created>
  <dcterms:modified xsi:type="dcterms:W3CDTF">2021-05-31T09:06:00Z</dcterms:modified>
</cp:coreProperties>
</file>