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DA3F4B">
        <w:rPr>
          <w:b/>
          <w:sz w:val="24"/>
          <w:szCs w:val="24"/>
        </w:rPr>
        <w:t>АО0002787</w:t>
      </w:r>
      <w:r w:rsidRPr="00BE0A9B">
        <w:rPr>
          <w:b/>
          <w:sz w:val="24"/>
          <w:szCs w:val="24"/>
        </w:rPr>
        <w:t>.</w:t>
      </w:r>
    </w:p>
    <w:p w:rsidR="009B22E7" w:rsidRPr="00BE0A9B" w:rsidRDefault="00DA3F4B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22.01.2021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DA3F4B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DA3F4B">
        <w:rPr>
          <w:b/>
          <w:sz w:val="24"/>
          <w:szCs w:val="24"/>
        </w:rPr>
        <w:t>АО0002787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DA3F4B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DA3F4B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DA3F4B">
              <w:rPr>
                <w:sz w:val="24"/>
                <w:szCs w:val="24"/>
              </w:rPr>
              <w:t>Зазеленская Татьяна Викторовна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DA3F4B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Зазеленской Татьяны Викторовны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DA3F4B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DA3F4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DA3F4B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08.12.2020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DA3F4B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21.01.2021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DA3F4B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07.12.2020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DA3F4B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07.12.2020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DA3F4B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07.12.2020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Саратовской области 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А57-579/2020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 области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Зазеленская Татьяна Викторовна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642800301066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89372470051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DA3F4B" w:rsidRDefault="00DA3F4B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DA3F4B" w:rsidRDefault="00DA3F4B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Кадастровый номер 64:28:000000:13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Кадастровый номер 64:28:000000:13, адрес: местоположение установлено относительно ориентира, расположенного в границах участка. Почтовый адрес ориентира: Саратовская обл., р-н Ровенский, бывшие земли КП «Скатовское». Площадь 23 478 000,00 кв.м. Общая долевая собственность, доля в праве 1/249. Дата государственной регистрации 17.08.2007 г.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</w:t>
            </w:r>
          </w:p>
        </w:tc>
      </w:tr>
      <w:tr w:rsidR="00DA3F4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DA3F4B" w:rsidRDefault="00DA3F4B" w:rsidP="00DA3F4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Внесение задатка осуществляется по следующим реквизитам: Наименование получателя средств: Зазеленская Татьяна Викторовна Счет получателя средств №: 42307810956170869115 БИК получателя: 043601607 ИНН получателя: 7707083893 Наименование банка получателя: ПОВОЛЖСКИЙ БАНК ПАО СБЕРБАНК Корреспондентский счет банка получателя: 30101810200000000607 Назначение платежа: оплата задатка по лоту №1 должника Зазеленской Т.В.</w:t>
            </w:r>
          </w:p>
        </w:tc>
      </w:tr>
    </w:tbl>
    <w:p w:rsidR="00DA3F4B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</w:p>
    <w:p w:rsidR="00183E1F" w:rsidRDefault="00DA3F4B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Торги признаны несостоявшимся согласно п.17 ст.110 ФЗ о банкротстве, т.к. к участию в торгах был допущен только один участник - Мещеряков Владимир Александрович (ИНН-631927412040).</w:t>
      </w:r>
      <w:r w:rsidR="00FE7086"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DA3F4B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599A-C6F3-4166-B459-D83C2AE4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2021-01-22T15:23:00Z</dcterms:created>
  <dcterms:modified xsi:type="dcterms:W3CDTF">2021-01-22T15:23:00Z</dcterms:modified>
</cp:coreProperties>
</file>