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2169D2">
        <w:rPr>
          <w:b/>
          <w:sz w:val="24"/>
          <w:szCs w:val="24"/>
        </w:rPr>
        <w:t>2776</w:t>
      </w:r>
      <w:r w:rsidR="00424B57">
        <w:rPr>
          <w:b/>
          <w:sz w:val="24"/>
          <w:szCs w:val="24"/>
        </w:rPr>
        <w:t>.</w:t>
      </w:r>
    </w:p>
    <w:p w:rsidR="00320475" w:rsidRPr="00320475" w:rsidRDefault="002169D2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02.12.2020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2169D2">
        <w:rPr>
          <w:sz w:val="24"/>
          <w:szCs w:val="24"/>
        </w:rPr>
        <w:t>Куранов Алексей Игоревич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2169D2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2169D2">
        <w:rPr>
          <w:sz w:val="24"/>
          <w:szCs w:val="24"/>
        </w:rPr>
        <w:t>АО0002776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2169D2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2169D2">
        <w:rPr>
          <w:sz w:val="24"/>
          <w:szCs w:val="24"/>
        </w:rPr>
        <w:t>Открытое акционерное общество "Останкинский молочный комбинат"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2169D2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2169D2">
        <w:rPr>
          <w:sz w:val="24"/>
          <w:szCs w:val="24"/>
        </w:rPr>
        <w:t>АО0002776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2169D2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2169D2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2169D2">
              <w:rPr>
                <w:sz w:val="24"/>
                <w:szCs w:val="24"/>
              </w:rPr>
              <w:t>Открытое акционерное общество "Останкинский молочный комбинат"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2169D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Повторные торги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2169D2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2169D2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2169D2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26.10.2020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2169D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02.12.2020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2169D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24.10.2020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2169D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21.10.2020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2169D2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21.10.2020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10:00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Куранов Алексей Игоревич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771535436296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Куранов Алексей  Игоревич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lastRenderedPageBreak/>
              <w:t>Наименование арбитражного суда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города Москвы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А40-55732/2017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города Москвы от 26 апреля 2017года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"Останкинский молочный комбинат"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"ОМК"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7715087436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1027739359977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подведения результатов оформляется протокол о результатах проведения торгов. Договор купли-продажи заключается в течение 5 дней с даты получения победителем предложения заключить договор.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Куранов Алексей Игоревич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8-916-602-30-25 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a.kuranov.au@gmail.com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2169D2" w:rsidRDefault="002169D2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Дебиторская задолженность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торгах должна содержать: наименование, организационно правовую форму, место нахождения, почтовый адрес (для юр. лиц); ФИО, паспортные данные, сведения о месте жительства заявителя (для физ. лиц); номер телефона, адрес электронной почты; сведения о наличии (отсутствии) заинтересованности заявителя по отношению к Конкурсному управляющему, о характере заинтересованности, сведения об участии в капитале заявителя арбитражного управляющего, Ассоциации «Саморегулируемая организация арбитражных управляющих  «Лига» адрес: 440026, г. Пенза, ул. Володарского, д. 9, оф. 202). Документы, прилагаемые к заявке: устав, доказательства одобрения сделки участниками (для юр. лиц), выписка из ЕГРЮЛ (ЕГРИП) — не старше 30 дней, свидетельства о государственной регистрации и о постановке на налоговый учёт, (для юридических лиц и ИП); договор о задатке, документы, подтверждающие полномочия представителя, копия паспорта заявителя и представителя, реквизиты счёта для возврата задатка, перевод на русский язык документов о государственной регистрации. Заявки принимаются после оплаты задатка и представления п/п с отметкой банка об исполнении.  Заявители, допущенные к участию в торгах, признаются участниками торгов. 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Дебиторская задолженность   Ньюхольм Системз С.А.   (Республика Панама, г. Панама, ул. 50-я, Глобал Плаза Тауэр, 19-й этаж, офис «ЭЙЧ»). Исполнительный лист выдан 03.06.2019г. Срок предъявления исполнительного листа к исполнению в течение трех лет со дня вступления судебного акта в законную силу (30.04.2019г.). 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10044520,19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502226,0095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Рубли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1 004 452,02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должен поступить на указанный счёт не позднее окончания срока приема заявок. В случае признания победителем торгов задаток засчитывается в счёт оплаты приобретенного имущества. </w:t>
            </w:r>
          </w:p>
        </w:tc>
      </w:tr>
      <w:tr w:rsidR="002169D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2169D2" w:rsidRDefault="002169D2" w:rsidP="002169D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расчётный счёт ОАО «ОМК»: р/с: 40702810000000066416 в ПАО «ПРОМСВЯЗЬБАНК» БИК 044525555, к/с:  30101810400000000555.  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169D2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233B-FF1D-4A0F-B9C7-279D7ACC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2020-12-02T12:19:00Z</dcterms:created>
  <dcterms:modified xsi:type="dcterms:W3CDTF">2020-12-02T12:19:00Z</dcterms:modified>
</cp:coreProperties>
</file>