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566AA6">
        <w:rPr>
          <w:b/>
          <w:sz w:val="24"/>
          <w:szCs w:val="24"/>
        </w:rPr>
        <w:t>2761</w:t>
      </w:r>
      <w:r w:rsidR="00424B57">
        <w:rPr>
          <w:b/>
          <w:sz w:val="24"/>
          <w:szCs w:val="24"/>
        </w:rPr>
        <w:t>.</w:t>
      </w:r>
    </w:p>
    <w:p w:rsidR="00320475" w:rsidRPr="00320475" w:rsidRDefault="00566AA6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20.07.2020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566AA6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566AA6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566AA6">
        <w:rPr>
          <w:sz w:val="24"/>
          <w:szCs w:val="24"/>
        </w:rPr>
        <w:t>АО0002761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566AA6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566AA6">
        <w:rPr>
          <w:sz w:val="24"/>
          <w:szCs w:val="24"/>
        </w:rPr>
        <w:t>Хзмалян Лёва Рафикович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566AA6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566AA6">
        <w:rPr>
          <w:sz w:val="24"/>
          <w:szCs w:val="24"/>
        </w:rPr>
        <w:t>АО0002761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566AA6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566AA6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566AA6">
              <w:rPr>
                <w:sz w:val="24"/>
                <w:szCs w:val="24"/>
              </w:rPr>
              <w:t>Хзмалян Лёва Рафикович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566AA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Хзмаляна Лёвы Рафиковича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566AA6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566AA6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566AA6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20.07.2020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566AA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24.08.2020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566AA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17.07.2020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566AA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17.07.2020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566AA6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17.07.2020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12:25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644918589967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 - Союз арбитражных управляющих "Возрождение"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Волгоградской области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А12-16973/2019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Волгоградской области от 15.07.2020 по делу №А12-16973/2019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Хзмалян Лёва Рафикович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342600116678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Наименование банка получателя: Поволжский Банк ПАО Сбербанк</w:t>
            </w:r>
          </w:p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 банка получателя: 30101810200000000607</w:t>
            </w:r>
          </w:p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 043601607</w:t>
            </w:r>
          </w:p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получателя 40817810756002283098</w:t>
            </w:r>
          </w:p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 средств Хзмалян Лёва Рафикович</w:t>
            </w:r>
          </w:p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платежа: оплата договора купли-продажи по лоту №1 должника Хзмаляна Л.Р.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 Федоров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+79372470051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566AA6" w:rsidRDefault="00566AA6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кадастровый номер: 34:26:044301:785; Адрес: местоположение установлено относительно ориентира, расположенного за пределами участка. Ориентир обл. Волгоградкая, р-н Светлоярский, п. Соляной, в административных границах Кировского сельского поселения. Участок находится примерно в 200 м, по направлению на восток от ориентира; Разрешенное использование: для личного подсобного хозяйства; общая площадь – 1 615,00 кв. м.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73500,00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7350,00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Внесение задатка осуществляется по следующим реквизитам: Наименование банка получателя: Поволжский Банк ПАО Сбербанк Корреспондентский счет банка получателя: 30101810200000000607 Бик банка 043601607 Счет получателя 40817810756002283098 Наименование получателя средств Хзмалян Лёва Рафикович Назначение платежа: оплата задатка по лоту №1 должника Хзмаляна Л.Р.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566A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566AA6" w:rsidRDefault="00566AA6" w:rsidP="00566A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Наименование банка получателя: Поволжский Банк ПАО Сбербанк Корреспондентский счет банка получателя: 30101810200000000607 Бик банка 043601607 Счет получателя 40817810756002283098 Наименование получателя средств Хзмалян Лёва Рафикович Назначение платежа: оплата задатка по лоту №1 должника Хзмаляна Л.Р.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66AA6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2F2C-40DE-4981-8A0B-787FB63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2020-07-20T06:55:00Z</dcterms:created>
  <dcterms:modified xsi:type="dcterms:W3CDTF">2020-07-20T06:55:00Z</dcterms:modified>
</cp:coreProperties>
</file>