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235E">
        <w:rPr>
          <w:b/>
          <w:sz w:val="24"/>
          <w:szCs w:val="24"/>
        </w:rPr>
        <w:t>АО0002710</w:t>
      </w:r>
      <w:r w:rsidRPr="00BE0A9B">
        <w:rPr>
          <w:b/>
          <w:sz w:val="24"/>
          <w:szCs w:val="24"/>
        </w:rPr>
        <w:t>.</w:t>
      </w:r>
    </w:p>
    <w:p w:rsidR="009B22E7" w:rsidRPr="00BE0A9B" w:rsidRDefault="00F1235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123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1235E">
        <w:rPr>
          <w:b/>
          <w:sz w:val="24"/>
          <w:szCs w:val="24"/>
        </w:rPr>
        <w:t>АО0002710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235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123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1235E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235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залогового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123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123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235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235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235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235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235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28.02.2020г. по делу № 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235E" w:rsidRDefault="00F123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140000,00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7000,00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F12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235E" w:rsidRDefault="00F1235E" w:rsidP="00F12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1235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1235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969F1-A7D3-4863-BB37-9A15BC78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2020-05-22T10:56:00Z</dcterms:created>
  <dcterms:modified xsi:type="dcterms:W3CDTF">2020-05-22T10:56:00Z</dcterms:modified>
</cp:coreProperties>
</file>