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7DA8">
        <w:rPr>
          <w:b/>
          <w:sz w:val="24"/>
          <w:szCs w:val="24"/>
        </w:rPr>
        <w:t>2637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7DA8" w:rsidRDefault="00EF7DA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7DA8" w:rsidRDefault="00EF7D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участок, дата возникновения собственности – 29.12.2008г.,кадастровый номер:64:11:000000:54 ,Описание: -земли сельскохозяйственного назначения (для сельскохозяйственного производства), -общая площадь – 26846400 кв. м., размер доли – 170/28173, -земля не размежевана 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12.03.2019 9:00:00</w:t>
            </w:r>
          </w:p>
        </w:tc>
      </w:tr>
      <w:tr w:rsidR="00EF7D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7DA8" w:rsidRDefault="00EF7DA8" w:rsidP="00EF7DA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16.04.2019 9:00:00</w:t>
            </w:r>
          </w:p>
        </w:tc>
      </w:tr>
    </w:tbl>
    <w:p w:rsidR="00EF7DA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7DA8" w:rsidRDefault="00EF7D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EF7DA8" w:rsidRDefault="00EF7DA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EF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9D344D-B348-46BE-A0F0-58839857E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2019-04-18T05:32:00Z</dcterms:created>
  <dcterms:modified xsi:type="dcterms:W3CDTF">2019-04-18T05:32:00Z</dcterms:modified>
</cp:coreProperties>
</file>