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CB76EC">
        <w:rPr>
          <w:b/>
          <w:sz w:val="24"/>
          <w:szCs w:val="24"/>
        </w:rPr>
        <w:t>АО0002582</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CB76EC">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CB76EC">
        <w:rPr>
          <w:b/>
          <w:sz w:val="24"/>
          <w:szCs w:val="24"/>
        </w:rPr>
        <w:t>АО0002582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CB76EC"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B76EC">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CB76EC">
              <w:rPr>
                <w:sz w:val="24"/>
                <w:szCs w:val="24"/>
              </w:rPr>
              <w:t>Ахметов Раян Шайдуллович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CB76EC" w:rsidP="000E46A0">
            <w:pPr>
              <w:rPr>
                <w:sz w:val="24"/>
                <w:szCs w:val="24"/>
                <w:lang w:val="en-US"/>
              </w:rPr>
            </w:pPr>
            <w:bookmarkStart w:id="7" w:name="ДопСведение"/>
            <w:bookmarkEnd w:id="7"/>
            <w:r>
              <w:rPr>
                <w:sz w:val="24"/>
                <w:szCs w:val="24"/>
                <w:lang w:val="en-US"/>
              </w:rPr>
              <w:t>Открытые торги в электронной форме в виде аукциона по продаже имущества предприятия-должника ИП Главы КФХ Ахметова Раяна Шайдулловича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B76EC">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B76EC">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CB76EC" w:rsidP="000E46A0">
            <w:pPr>
              <w:rPr>
                <w:rFonts w:cstheme="minorHAnsi"/>
                <w:sz w:val="24"/>
                <w:szCs w:val="24"/>
              </w:rPr>
            </w:pPr>
            <w:bookmarkStart w:id="10" w:name="ДатаНачПриемЗаявки_ддммгг"/>
            <w:bookmarkEnd w:id="10"/>
            <w:r>
              <w:rPr>
                <w:rFonts w:cstheme="minorHAnsi"/>
                <w:sz w:val="24"/>
                <w:szCs w:val="24"/>
              </w:rPr>
              <w:t>28.11.2016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CB76EC" w:rsidP="000E46A0">
            <w:pPr>
              <w:rPr>
                <w:sz w:val="24"/>
                <w:szCs w:val="24"/>
              </w:rPr>
            </w:pPr>
            <w:bookmarkStart w:id="12" w:name="ДатаКонПриемЗаявки_ддммгг"/>
            <w:bookmarkEnd w:id="12"/>
            <w:r>
              <w:rPr>
                <w:sz w:val="24"/>
                <w:szCs w:val="24"/>
              </w:rPr>
              <w:t>30.12.2016</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CB76EC" w:rsidP="000E46A0">
            <w:pPr>
              <w:rPr>
                <w:sz w:val="24"/>
                <w:szCs w:val="24"/>
              </w:rPr>
            </w:pPr>
            <w:bookmarkStart w:id="14" w:name="ДатаПубСМИ_ддммгг"/>
            <w:bookmarkEnd w:id="14"/>
            <w:r>
              <w:rPr>
                <w:sz w:val="24"/>
                <w:szCs w:val="24"/>
              </w:rPr>
              <w:t>26.11.2016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CB76EC" w:rsidP="000E46A0">
            <w:pPr>
              <w:rPr>
                <w:sz w:val="24"/>
                <w:szCs w:val="24"/>
              </w:rPr>
            </w:pPr>
            <w:bookmarkStart w:id="16" w:name="ДатаПубОрган_ддммгг"/>
            <w:bookmarkEnd w:id="16"/>
            <w:r>
              <w:rPr>
                <w:sz w:val="24"/>
                <w:szCs w:val="24"/>
              </w:rPr>
              <w:t>24.11.2016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CB76EC" w:rsidP="000E46A0">
            <w:pPr>
              <w:rPr>
                <w:sz w:val="24"/>
                <w:szCs w:val="24"/>
              </w:rPr>
            </w:pPr>
            <w:bookmarkStart w:id="18" w:name="ДатаПубРеестр_ддммгг"/>
            <w:bookmarkEnd w:id="18"/>
            <w:r>
              <w:rPr>
                <w:sz w:val="24"/>
                <w:szCs w:val="24"/>
              </w:rPr>
              <w:t>17.11.2016</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CB76EC" w:rsidRDefault="00CB76EC" w:rsidP="00CB76EC">
            <w:pPr>
              <w:spacing w:after="120" w:line="240" w:lineRule="auto"/>
              <w:contextualSpacing/>
              <w:rPr>
                <w:sz w:val="24"/>
                <w:szCs w:val="24"/>
              </w:rPr>
            </w:pPr>
            <w:r>
              <w:rPr>
                <w:sz w:val="24"/>
                <w:szCs w:val="24"/>
              </w:rPr>
              <w:t>Ефремов Игорь Игоревич</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ИНН</w:t>
            </w:r>
          </w:p>
        </w:tc>
        <w:tc>
          <w:tcPr>
            <w:tcW w:w="4786" w:type="dxa"/>
          </w:tcPr>
          <w:p w:rsidR="00CB76EC" w:rsidRDefault="00CB76EC" w:rsidP="00CB76EC">
            <w:pPr>
              <w:spacing w:after="120" w:line="240" w:lineRule="auto"/>
              <w:contextualSpacing/>
              <w:rPr>
                <w:sz w:val="24"/>
                <w:szCs w:val="24"/>
              </w:rPr>
            </w:pPr>
            <w:r>
              <w:rPr>
                <w:sz w:val="24"/>
                <w:szCs w:val="24"/>
              </w:rPr>
              <w:t>645209650322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bookmarkStart w:id="21" w:name="Арбитр"/>
            <w:bookmarkEnd w:id="21"/>
            <w:r>
              <w:rPr>
                <w:sz w:val="24"/>
                <w:szCs w:val="24"/>
              </w:rPr>
              <w:t>ФИО</w:t>
            </w:r>
          </w:p>
        </w:tc>
        <w:tc>
          <w:tcPr>
            <w:tcW w:w="4786" w:type="dxa"/>
          </w:tcPr>
          <w:p w:rsidR="00CB76EC" w:rsidRDefault="00CB76EC" w:rsidP="00CB76EC">
            <w:pPr>
              <w:spacing w:after="120" w:line="240" w:lineRule="auto"/>
              <w:contextualSpacing/>
              <w:rPr>
                <w:sz w:val="24"/>
                <w:szCs w:val="24"/>
              </w:rPr>
            </w:pPr>
            <w:r>
              <w:rPr>
                <w:sz w:val="24"/>
                <w:szCs w:val="24"/>
              </w:rPr>
              <w:t>Ефремов Игорь Игоревич</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ИНН</w:t>
            </w:r>
          </w:p>
        </w:tc>
        <w:tc>
          <w:tcPr>
            <w:tcW w:w="4786" w:type="dxa"/>
          </w:tcPr>
          <w:p w:rsidR="00CB76EC" w:rsidRDefault="00CB76EC" w:rsidP="00CB76EC">
            <w:pPr>
              <w:spacing w:after="120" w:line="240" w:lineRule="auto"/>
              <w:contextualSpacing/>
              <w:rPr>
                <w:sz w:val="24"/>
                <w:szCs w:val="24"/>
              </w:rPr>
            </w:pPr>
            <w:r>
              <w:rPr>
                <w:sz w:val="24"/>
                <w:szCs w:val="24"/>
              </w:rPr>
              <w:t>645209650322</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Наименование СРО</w:t>
            </w:r>
          </w:p>
        </w:tc>
        <w:tc>
          <w:tcPr>
            <w:tcW w:w="4786" w:type="dxa"/>
          </w:tcPr>
          <w:p w:rsidR="00CB76EC" w:rsidRDefault="00CB76EC" w:rsidP="00CB76EC">
            <w:pPr>
              <w:spacing w:after="120" w:line="240" w:lineRule="auto"/>
              <w:contextualSpacing/>
              <w:rPr>
                <w:sz w:val="24"/>
                <w:szCs w:val="24"/>
              </w:rPr>
            </w:pPr>
            <w:r>
              <w:rPr>
                <w:sz w:val="24"/>
                <w:szCs w:val="24"/>
              </w:rPr>
              <w:t>НП «Объединение арбитражных управляющих «Авангард»</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Регистрационный номер ФРС</w:t>
            </w:r>
          </w:p>
        </w:tc>
        <w:tc>
          <w:tcPr>
            <w:tcW w:w="4786" w:type="dxa"/>
          </w:tcPr>
          <w:p w:rsidR="00CB76EC" w:rsidRDefault="00CB76EC" w:rsidP="00CB76EC">
            <w:pPr>
              <w:spacing w:after="120" w:line="240" w:lineRule="auto"/>
              <w:contextualSpacing/>
              <w:rPr>
                <w:sz w:val="24"/>
                <w:szCs w:val="24"/>
              </w:rPr>
            </w:pPr>
            <w:r>
              <w:rPr>
                <w:sz w:val="24"/>
                <w:szCs w:val="24"/>
              </w:rPr>
              <w:t>12285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CB76EC" w:rsidRDefault="00CB76EC" w:rsidP="00CB76EC">
            <w:pPr>
              <w:spacing w:after="120" w:line="240" w:lineRule="auto"/>
              <w:contextualSpacing/>
              <w:rPr>
                <w:sz w:val="24"/>
                <w:szCs w:val="24"/>
              </w:rPr>
            </w:pPr>
            <w:r>
              <w:rPr>
                <w:sz w:val="24"/>
                <w:szCs w:val="24"/>
              </w:rPr>
              <w:t>Арбитражный суд Саратовской области</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Номер дела о банкротстве</w:t>
            </w:r>
          </w:p>
        </w:tc>
        <w:tc>
          <w:tcPr>
            <w:tcW w:w="4786" w:type="dxa"/>
          </w:tcPr>
          <w:p w:rsidR="00CB76EC" w:rsidRDefault="00CB76EC" w:rsidP="00CB76EC">
            <w:pPr>
              <w:spacing w:after="120" w:line="240" w:lineRule="auto"/>
              <w:contextualSpacing/>
              <w:rPr>
                <w:sz w:val="24"/>
                <w:szCs w:val="24"/>
              </w:rPr>
            </w:pPr>
            <w:r>
              <w:rPr>
                <w:sz w:val="24"/>
                <w:szCs w:val="24"/>
              </w:rPr>
              <w:t>№А57-13960/2015</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Основание для проведения торгов</w:t>
            </w:r>
          </w:p>
        </w:tc>
        <w:tc>
          <w:tcPr>
            <w:tcW w:w="4786" w:type="dxa"/>
          </w:tcPr>
          <w:p w:rsidR="00CB76EC" w:rsidRDefault="00CB76EC" w:rsidP="00CB76EC">
            <w:pPr>
              <w:spacing w:after="120" w:line="240" w:lineRule="auto"/>
              <w:contextualSpacing/>
              <w:rPr>
                <w:sz w:val="24"/>
                <w:szCs w:val="24"/>
              </w:rPr>
            </w:pPr>
            <w:r>
              <w:rPr>
                <w:sz w:val="24"/>
                <w:szCs w:val="24"/>
              </w:rPr>
              <w:t>Решением Арбитражного суда Саратовской области от 28.01.2016 г. по делу №А57-13960/2015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CB76EC" w:rsidRDefault="00CB76EC" w:rsidP="00CB76EC">
            <w:pPr>
              <w:spacing w:after="120" w:line="240" w:lineRule="auto"/>
              <w:contextualSpacing/>
              <w:rPr>
                <w:sz w:val="24"/>
                <w:szCs w:val="24"/>
              </w:rPr>
            </w:pPr>
            <w:r>
              <w:rPr>
                <w:sz w:val="24"/>
                <w:szCs w:val="24"/>
              </w:rPr>
              <w:t>Индивидуальный предприниматель</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Наименование</w:t>
            </w:r>
          </w:p>
        </w:tc>
        <w:tc>
          <w:tcPr>
            <w:tcW w:w="4786" w:type="dxa"/>
          </w:tcPr>
          <w:p w:rsidR="00CB76EC" w:rsidRDefault="00CB76EC" w:rsidP="00CB76EC">
            <w:pPr>
              <w:spacing w:after="120" w:line="240" w:lineRule="auto"/>
              <w:contextualSpacing/>
              <w:rPr>
                <w:sz w:val="24"/>
                <w:szCs w:val="24"/>
              </w:rPr>
            </w:pPr>
            <w:r>
              <w:rPr>
                <w:sz w:val="24"/>
                <w:szCs w:val="24"/>
              </w:rPr>
              <w:t>Ахметов Раян Шайдуллович</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ИНН</w:t>
            </w:r>
          </w:p>
        </w:tc>
        <w:tc>
          <w:tcPr>
            <w:tcW w:w="4786" w:type="dxa"/>
          </w:tcPr>
          <w:p w:rsidR="00CB76EC" w:rsidRDefault="00CB76EC" w:rsidP="00CB76EC">
            <w:pPr>
              <w:spacing w:after="120" w:line="240" w:lineRule="auto"/>
              <w:contextualSpacing/>
              <w:rPr>
                <w:sz w:val="24"/>
                <w:szCs w:val="24"/>
              </w:rPr>
            </w:pPr>
            <w:r>
              <w:rPr>
                <w:sz w:val="24"/>
                <w:szCs w:val="24"/>
              </w:rPr>
              <w:t>640900476700</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ОГРН</w:t>
            </w:r>
          </w:p>
        </w:tc>
        <w:tc>
          <w:tcPr>
            <w:tcW w:w="4786" w:type="dxa"/>
          </w:tcPr>
          <w:p w:rsidR="00CB76EC" w:rsidRDefault="00CB76EC" w:rsidP="00CB76EC">
            <w:pPr>
              <w:spacing w:after="120" w:line="240" w:lineRule="auto"/>
              <w:contextualSpacing/>
              <w:rPr>
                <w:sz w:val="24"/>
                <w:szCs w:val="24"/>
              </w:rPr>
            </w:pPr>
            <w:r>
              <w:rPr>
                <w:sz w:val="24"/>
                <w:szCs w:val="24"/>
              </w:rPr>
              <w:t>306643214500037</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CB76EC" w:rsidRDefault="00CB76EC" w:rsidP="00CB76EC">
            <w:pPr>
              <w:spacing w:after="120" w:line="240" w:lineRule="auto"/>
              <w:contextualSpacing/>
              <w:rPr>
                <w:sz w:val="24"/>
                <w:szCs w:val="24"/>
              </w:rPr>
            </w:pPr>
            <w:r>
              <w:rPr>
                <w:sz w:val="24"/>
                <w:szCs w:val="24"/>
              </w:rPr>
              <w:t>Продажа имущества оформляется договором купли-продажи, который заключает конкурсный управляющий с победителем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CB76EC" w:rsidRDefault="00CB76EC" w:rsidP="00CB76EC">
            <w:pPr>
              <w:spacing w:after="120" w:line="240" w:lineRule="auto"/>
              <w:contextualSpacing/>
              <w:rPr>
                <w:sz w:val="24"/>
                <w:szCs w:val="24"/>
              </w:rPr>
            </w:pPr>
            <w:r>
              <w:rPr>
                <w:sz w:val="24"/>
                <w:szCs w:val="24"/>
              </w:rPr>
              <w:t>Ефремов Игорь Игоревич</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Контактный телефон</w:t>
            </w:r>
          </w:p>
        </w:tc>
        <w:tc>
          <w:tcPr>
            <w:tcW w:w="4786" w:type="dxa"/>
          </w:tcPr>
          <w:p w:rsidR="00CB76EC" w:rsidRDefault="00CB76EC" w:rsidP="00CB76EC">
            <w:pPr>
              <w:spacing w:after="120" w:line="240" w:lineRule="auto"/>
              <w:contextualSpacing/>
              <w:rPr>
                <w:sz w:val="24"/>
                <w:szCs w:val="24"/>
              </w:rPr>
            </w:pPr>
            <w:r>
              <w:rPr>
                <w:sz w:val="24"/>
                <w:szCs w:val="24"/>
              </w:rPr>
              <w:t>89878252407</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Адрес электронной почты</w:t>
            </w:r>
          </w:p>
        </w:tc>
        <w:tc>
          <w:tcPr>
            <w:tcW w:w="4786" w:type="dxa"/>
          </w:tcPr>
          <w:p w:rsidR="00CB76EC" w:rsidRDefault="00CB76EC" w:rsidP="00CB76EC">
            <w:pPr>
              <w:spacing w:after="120" w:line="240" w:lineRule="auto"/>
              <w:contextualSpacing/>
              <w:rPr>
                <w:sz w:val="24"/>
                <w:szCs w:val="24"/>
              </w:rPr>
            </w:pPr>
            <w:r>
              <w:rPr>
                <w:sz w:val="24"/>
                <w:szCs w:val="24"/>
              </w:rPr>
              <w:t>263809@mail.ru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CB76EC" w:rsidRDefault="00CB76EC"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Наименование лота</w:t>
            </w:r>
          </w:p>
        </w:tc>
        <w:tc>
          <w:tcPr>
            <w:tcW w:w="4786" w:type="dxa"/>
          </w:tcPr>
          <w:p w:rsidR="00CB76EC" w:rsidRDefault="00CB76EC" w:rsidP="00CB76EC">
            <w:pPr>
              <w:spacing w:after="120" w:line="240" w:lineRule="auto"/>
              <w:contextualSpacing/>
              <w:rPr>
                <w:sz w:val="24"/>
                <w:szCs w:val="24"/>
              </w:rPr>
            </w:pPr>
            <w:r>
              <w:rPr>
                <w:sz w:val="24"/>
                <w:szCs w:val="24"/>
              </w:rPr>
              <w:t xml:space="preserve">Лот №1 </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CB76EC" w:rsidRDefault="00CB76EC" w:rsidP="00CB76EC">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CB76EC" w:rsidRDefault="00CB76EC" w:rsidP="00CB76EC">
            <w:pPr>
              <w:spacing w:after="120" w:line="240" w:lineRule="auto"/>
              <w:contextualSpacing/>
              <w:rPr>
                <w:sz w:val="24"/>
                <w:szCs w:val="24"/>
              </w:rPr>
            </w:pPr>
            <w:r>
              <w:rPr>
                <w:sz w:val="24"/>
                <w:szCs w:val="24"/>
              </w:rPr>
              <w:t>зем. участок кад. № 64:09:100421:64, № 64:09:100421:66, № 64:09:100421:73, № 64:09:100421:68, № 64:09:100421:74, № 64:09:100421:53, № 64:09:040201:278 2/3 доли, № 64:09:100421:65, № 64:09:100421:67, № 64:09:100421:63, № 64:09:040201:289, № 64:09:100421:62, № 64:09:040201:279 6/11 доли, № 64:09:040101:387 2/13 доли, № 64:09:040201:286, № 64:09:040101:382, здание (гараж), жилой дом, здание (котельная), жилой дом, здание, Комбайн Нива-эффект СК-5МЭ-1, 2007 г. г/н 6588СМ64, Трактор Беларус-82.1, 2007 г. г/н 6584СМ64, Трактор Беларус-80.1, 2007 г. г/н 6583СМ64, КАМАЗ 3646063 г/н Р085УУ64, НЕФАЗ 9334108 Е полуприцеп г/н АН315164, Прицеп ГКБ 8535 Е г/н АН286464, Трактор Беларус-82.1, 2008 г. г/н 6587СМ64, КАМАЗ 35320 С грузовой бортовой г/н К712УО64, КАМАЗ 3651153 552915 С грузовой самосвал г/н Т140ВР64, Прицеп самосвал 852900 г/н АН645964, Комбайн КЗС-10К-26, 20013 г. г/н 3937СМ64, Полуприцеп КАМА 9423 ВО Е г/н АН646164, Погрузчик АМКОДОР 322, 2013 г. г/н 5347СО64, NYUNDAI SANATA 2.4AT г/н Х614ТУ64, Борона дисковая прицепная Б ДМ 4*4 П 2 шт., Сеялка СПБ-8М с эжектором 2 шт., Культиватор КРН-5,6 2 шт., Борона дисковая БДМ 6х4 П с катком, Пресс подборщик рулонный ПР-145С, Агрегат почвообрабатывающий АПК-10,8, Борона дисковая БДМ 4х4 П, Зернометатель ЗС-90 5 шт., Сеялка СЗС 2,1, КАМАЗ 651153 С грузовой самосвал оранжевый г/н Т142ВР64, Е прицеп самосвал 852900 оранжевый г/н АН646064, СЗАП 83053 Е прицеп общего назначения синий г/н АН600864, КАМАЗ 65117-RB с грузовой бортовой синий г/н Х806ХТ64, СЗАП 855102 Е прицеп общего назначения оранжевый г/н АН126164, КАМАЗ 45143-12-15 С грузовой самосвал оранжевый г/н Х665НЕ64, УАЗ 396259 цвет кузова защитный года выпуска: 2004 шасси (рама): № 37410040429433, Пресс топливных брикетов ПТБ 1.00.00.000, Прицеп общего назначения ГКБ 855130 Паспорт ТС: 64НК 827999, Грузовой самосвал КАМАЗ 355102 г/н К417УН64, шнек выгрузной длинный «Енисей», марка КДМ6-13-5В-01, 2002 г. вып., шнек выгрузной короткий, марка КДМ6-13-5В, 2002 г. вып., компрессор, марка СБ4/С-50ЫЗ 30 КЕМЕ2А, 2010 г. вып., конвейер шнековый, марка У-10 КШ-25 Д=200 мм Ь=4,5 м, 2010 г. вып., конвейер винтовой, марка У-10 КШ-25 Д=200 мм Ь=4,5 м, 2010 г. вып., конвейер винт, марка У-10-УКВ-32 Ь=8м общ. 2010 г. вып., циклон, марка ЦОК-9, 2010 г. вып., конвейер цепной, марка У10-КСЦ Ь=8м, 2010 г. вып., лебедка ручная 4т., марка РИ64644,2010 г. вып., зерносушилка (жалюзийная), марка СЗЖ-10, 2010 г. вып., транспортер шнековый, марка ТШ-30, 2008 г. вып., преобразователь частоты, марка Е2-МШ1- 003 Н, 2010 г. вып., преобразователь частоты, марка Е2-МШ1- 003 Н, 2010 г. вып., преобразователь частоты, марка Е2-МПЧ1- 003 Н, 2010 г. вып., преобразователь частоты, марка Е2-МПЧ1- 003 Н, 2010 г. вып., частотный преобразователь, марка СНЕ 100-1К5С-4,!, 5кВт, 2010 г. вып., частотный преобразователь, марка СНЕ 100-011 О/О 15Р-4, 2010 г. вып., аппарат высокого давления (автомойка), марка Н05/12С, 2010 г. вып., машина семеновеечная, марка НВХ, 2010 г. вып., машина семенообрушальная, марка НРХ-4-01, 2010 г. вып., установка пневмотранспортная, марка УПТ-6, 2010 г. вып., УПТС-6 с пультом управления, марка УПТ-6, 2010 г. вып., гензомертический датчик, марка МК 2 (2000 кг), 2010 г. вып., терминал весовой суммирующий с автоматической системой дозирования (весовое оборудование), марка БВД 03/02 Р, 2010 г. вып., терминал весовой суммирующий с автоматической системой дозирования (весовое оборудование), марка БВД 03/02 Р, 2010 г. вып., конвейер винтовой, марка У10-КШ-25-1 шт., 2002 г. вып., фильтр центробежный, марка У10-ФЦ-М, 2001 г. вып., залоговой, фильтр центробежный, марка У10-ФЦ-М, 2001 г. вып., форпресс плавной регулировкой, марка ФПМ-Ш5П, 2010 г. вып., экспеллер с плавной регулировкой, марка ЕПМ-П075П, 2010 г. вып., экспеллер с плавной регулировкой, марка ЕПМ-П075П, 2010 г. вып., жаровня шестичанная, марка ЖМ-6, 2010 г. вып., жаровня восмичанная, марка ЖМ-8, 2010 г. вып., циклон, марка У10 ЦОЛ9, 2002 г. вып., конвейер винтовой шнековый, марка У10-МВТ, 2002 г. вып., конвейер винтовой, марка У10-кш-25, 2002 г. вып., конвейер, марка У10-УКВ-32, 2002 г. вып., конвейер, марка У10-УКВ-32, 2002 г. вып., весы автомобильные электронные, марка АВТОБАН 60000 модель 18 м, 2010 г. вып., форпресс плавной, марка ФПМ-П15П, 2010 г. вып., экспеллер с плавной регулировкой, марка ЕПМ-П075П, 2010 г. вып., экспеллер с плавной регулировкой, марка ЕПМ-П075П, 2010 г. вып., жаровня шестичанная, марка ЖМ-6, 2010 г. вып., жаровня восмичанная, марка ЖМ-8, 2010 г. вып., ущеловушка, марка ГЛ-70, 2010 г. вып., улитка, марка У10-ЦУ-9Правого исполнения к циклону уЮ-ЦОЛ-9, 2010 г. вып., ИК-анализатор «Инфраскан», 2010 г. вып., лабораторная мельница "Вьюга", 2010 г. вып., твердотопливный котел, марка АКМ-0,5, 2010 г. вып., сепаратор магнитный, марка БМП, 2010 г. вып., подъёмник для автомашин типаУ 15УРАГ, 2003 г. вып., мотор-редуктор, марка ЗМП, 2009 г. вып., машина зерноочистительная, марка МЗС-25, 2012 г. вып., дробилка ДКР-0,5 м, марка ДКР-0,5м, 2012 г. вып., мехток, марка ЗАВ-40, 2010 г. вып., нория пятачковая, марка МНП, 2010 г. вып., нория промежуточная, марка НПЗ 20, 2008 г. вып., нория промежуточная, марка НПЗ 20, 2008 г. вып., нория промежуточная, марка НПЗ 20, 2008 г. вып., нория промежуточная, марка НПЗ 20, 2008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35мЗ, 2005 г. вып., емкость пищевая 35мЗ, 2005 г. вып., емкость пищевая 35мЗ, 2005 г. вып., емкость пищевая 85мЗ, 2005 г. вып., емкость пищевая 40мЗ, 2005 г. вып., емкость пищевая 10мЗ, 2005 г. вып., емкость пищевая ЗмЗ, 2005 г. вып., емкость пищевая ЗмЗ, 2005 г. вып., емкость пищевая 35мЗ, 2005 г. вып., емкость пищевая 9мЗ. 2005 г. вып., емкость пищевая 10мЗ, 2005 г. вып.; емкость весовая ЗмЗ, 2010 г. вып.; газораспределительная система, 2010 г. вып.; воздуховоды к системе аспирации МЗС-25, 2 единицы, 2012 г. вып. – 2 шт.; МПШ.ПО 1.07.104, наимен. - конус, количество 1; МПШ.ПО 1.07.003, наимен.- насадка 156x110x145, 4 шт.; МПШ.ПО 1.07.004, наимен. - насадка 156x110x114, 4 шт.; МПШ.ПО 1.07.005, наимен. - насадка 172x138x105, 4 шт.; МПШ.ПО 1.07.006, наимен. - насадка 172x148x95, 4 шт.; МПШ.ПО 1.07.007, наимен. - насадка 188x168x75, 4 шт.; МПШ.ПО 1.07.008, наимен. - насадка 188x172x95, 1 шт.; МПШ.ПО 1.07.009, наименование - насадка, 1 шт.; МПШ.ПО 1.01.005, наимен. - нож, 8 шт.; МПШ.ПО 1.01.006, наименование - нож, 8 шт.; МПШ.ПО 1.01.007, наименование - нож, 8 шт.; МПШ.ПО 1.01.008, наименование - нож, 8 шт.; МПШ.ПО 1.01.012, наименование - кольцо 120x28, 1 шт.; МПШ.ПО 1.01.013, наимен. - кольцо 120x110x28, 1 шт.; МПШ.ПО 1.01.014, наимен. - кольцо 120x28, 4 шт.; МПШ.ПО 1.01.015, наимен. - кольцо 110x138x40, 4 шт.; МПШ.ПО 1.01.016, наимен. - кольцо 138x148x40, 4 шт.; ПШ.ПО 1.01.017, наимен. - кольцо 148x168x40, 4 шт.; МПШ.П01.01.018, наимен. - кольцо 168x172x40, 4 шт.; МПШ.ПО 1.01.021-01, наимен. - планка зеерная 0,1, 304 шт.; МПШ.П01.01.021-02, наимен. - планка зеерная 0,2, 256 шт.; МПШ. ПО 1.01.021-03, наимен. - планка зеерная 0,4, 296 шт.; МПШ.П01.01.021-04, наимен. - планка зеерная 0,7, 68 шт.; МПШ.П01.03.001, наимен. - втулка, 4 шт.; МПШ.П01.01.001, наимен. - полукольцо, 8 шт.; МПШ.П01.01.002, наимен. - полукольцо, 8 шт.; МПШ.П01.01.003, наимен. - полукольцо, 8 шт.; МПШ.П01.01.004, наимен. - полукольцо, 8 шт.; МПШ.П01.01.009, наимен.- прижим, 4 шт.; МПШ.П01.01.010, наимен. - прижим, 4 шт.; МПШ.П01.01.011, наимен.- прижим, 4 шт.; МПШ.П01.01.012, наимен. - прижим, 4 шт.; МПШ.П01.01.013, наимен.- прижим, 4 шт.; МПШ.ПО 1.01.014, наимен.- прижим, 4 шт.; МПШ.ПО 1.01.00. 018, наимен. - клин, 40 шт.; МПШ.ПО 1.01.00. 018-01, наимен. - клин, 36 шт.; КАМАЗ 451431215 С грузовой самосвал оранжевый г/н Х310АТ64; Грузовой самосвал КАМАЗ 45143-15 г/н Х402ОН64; Прицеп общего назначения к грузовику НЕФА3 856002 г/н АН126364; зем. участок кад. № 64:09:040201:219 7/59 доля; зем. участок кад. № 64:09:040101:393 2/5 доля; зем. участок кад. № 64:09:040101:386 4/19 доля; зем. участок кад. № 64:09:040101:389 2/3 доля; зем. участок кад. № 64:09:040101:394 333/2333 доля (аренда); здание (зернохранилище №1); здание (дизельная); здание (дом животновода); здание (склад), здание (склад запчастей); здание (склад); здание (склад продуктов); Прицеп ГКБ 8327 Е; Зил 133 ГЯ С специализированный г/н Х667МР64; Прицеп ГКБ8350 Е г/н АМ401764; СЗАП 8551A Е прицеп общего назначения оранжевый; КАМАЗ 55102 С грузовой самосвал оранжевый г/н Т371АС64; ХУНДАЙ IX55 3.8AT В легковой универсал черный.</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Начальная цена</w:t>
            </w:r>
          </w:p>
        </w:tc>
        <w:tc>
          <w:tcPr>
            <w:tcW w:w="4786" w:type="dxa"/>
          </w:tcPr>
          <w:p w:rsidR="00CB76EC" w:rsidRDefault="00CB76EC" w:rsidP="00CB76EC">
            <w:pPr>
              <w:spacing w:after="120" w:line="240" w:lineRule="auto"/>
              <w:contextualSpacing/>
              <w:rPr>
                <w:sz w:val="24"/>
                <w:szCs w:val="24"/>
              </w:rPr>
            </w:pPr>
            <w:r>
              <w:rPr>
                <w:sz w:val="24"/>
                <w:szCs w:val="24"/>
              </w:rPr>
              <w:t>65771978</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Шаг, % от начальной цены</w:t>
            </w:r>
          </w:p>
        </w:tc>
        <w:tc>
          <w:tcPr>
            <w:tcW w:w="4786" w:type="dxa"/>
          </w:tcPr>
          <w:p w:rsidR="00CB76EC" w:rsidRDefault="00CB76EC" w:rsidP="00CB76EC">
            <w:pPr>
              <w:spacing w:after="120" w:line="240" w:lineRule="auto"/>
              <w:contextualSpacing/>
              <w:rPr>
                <w:sz w:val="24"/>
                <w:szCs w:val="24"/>
              </w:rPr>
            </w:pPr>
            <w:r>
              <w:rPr>
                <w:sz w:val="24"/>
                <w:szCs w:val="24"/>
              </w:rPr>
              <w:t>5</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Шаг, руб.</w:t>
            </w:r>
          </w:p>
        </w:tc>
        <w:tc>
          <w:tcPr>
            <w:tcW w:w="4786" w:type="dxa"/>
          </w:tcPr>
          <w:p w:rsidR="00CB76EC" w:rsidRDefault="00CB76EC" w:rsidP="00CB76EC">
            <w:pPr>
              <w:spacing w:after="120" w:line="240" w:lineRule="auto"/>
              <w:contextualSpacing/>
              <w:rPr>
                <w:sz w:val="24"/>
                <w:szCs w:val="24"/>
              </w:rPr>
            </w:pPr>
            <w:r>
              <w:rPr>
                <w:sz w:val="24"/>
                <w:szCs w:val="24"/>
              </w:rPr>
              <w:t>3288598</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Обеспечение задатка</w:t>
            </w:r>
          </w:p>
        </w:tc>
        <w:tc>
          <w:tcPr>
            <w:tcW w:w="4786" w:type="dxa"/>
          </w:tcPr>
          <w:p w:rsidR="00CB76EC" w:rsidRDefault="00CB76EC" w:rsidP="00CB76EC">
            <w:pPr>
              <w:spacing w:after="120" w:line="240" w:lineRule="auto"/>
              <w:contextualSpacing/>
              <w:rPr>
                <w:sz w:val="24"/>
                <w:szCs w:val="24"/>
              </w:rPr>
            </w:pPr>
            <w:r>
              <w:rPr>
                <w:sz w:val="24"/>
                <w:szCs w:val="24"/>
              </w:rPr>
              <w:t>Процент от начальной цены лота</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Размер задатка</w:t>
            </w:r>
          </w:p>
        </w:tc>
        <w:tc>
          <w:tcPr>
            <w:tcW w:w="4786" w:type="dxa"/>
          </w:tcPr>
          <w:p w:rsidR="00CB76EC" w:rsidRDefault="00CB76EC" w:rsidP="00CB76EC">
            <w:pPr>
              <w:spacing w:after="120" w:line="240" w:lineRule="auto"/>
              <w:contextualSpacing/>
              <w:rPr>
                <w:sz w:val="24"/>
                <w:szCs w:val="24"/>
              </w:rPr>
            </w:pPr>
            <w:r>
              <w:rPr>
                <w:sz w:val="24"/>
                <w:szCs w:val="24"/>
              </w:rPr>
              <w:t>10</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Порядок внесения и возврата задатка</w:t>
            </w:r>
          </w:p>
        </w:tc>
        <w:tc>
          <w:tcPr>
            <w:tcW w:w="4786" w:type="dxa"/>
          </w:tcPr>
          <w:p w:rsidR="00CB76EC" w:rsidRDefault="00CB76EC" w:rsidP="00CB76EC">
            <w:pPr>
              <w:spacing w:after="120" w:line="240" w:lineRule="auto"/>
              <w:contextualSpacing/>
              <w:rPr>
                <w:sz w:val="24"/>
                <w:szCs w:val="24"/>
              </w:rPr>
            </w:pPr>
            <w:r>
              <w:rPr>
                <w:sz w:val="24"/>
                <w:szCs w:val="24"/>
              </w:rPr>
              <w:t>Для участия в торгах по продаже Лота № 1 претендент должен внести задаток, путем перечисления денежных средств по следующим реквизитам: получатель платежа: ИП Глава КФХ Ахметов Раян Шайдуллович ОГРНИП 306643214500037, ИНН 640900476700, р/с 40802810856200000373 в ПАО «Сбербанк», к/с 30101810500000000649, ИНН 770708383893, КПП 645502001, БИК 046311649. Задаток может быть внесен в течение срока, определенного для подачи заявок на участие в торгах.</w:t>
            </w:r>
          </w:p>
        </w:tc>
      </w:tr>
      <w:tr w:rsidR="00CB76EC">
        <w:tblPrEx>
          <w:tblCellMar>
            <w:top w:w="0" w:type="dxa"/>
            <w:bottom w:w="0" w:type="dxa"/>
          </w:tblCellMar>
        </w:tblPrEx>
        <w:tc>
          <w:tcPr>
            <w:tcW w:w="4785" w:type="dxa"/>
          </w:tcPr>
          <w:p w:rsidR="00CB76EC" w:rsidRDefault="00CB76EC" w:rsidP="00CB76EC">
            <w:pPr>
              <w:spacing w:after="120" w:line="240" w:lineRule="auto"/>
              <w:contextualSpacing/>
              <w:rPr>
                <w:sz w:val="24"/>
                <w:szCs w:val="24"/>
              </w:rPr>
            </w:pPr>
            <w:r>
              <w:rPr>
                <w:sz w:val="24"/>
                <w:szCs w:val="24"/>
              </w:rPr>
              <w:t>Счет для внесения задатка</w:t>
            </w:r>
          </w:p>
        </w:tc>
        <w:tc>
          <w:tcPr>
            <w:tcW w:w="4786" w:type="dxa"/>
          </w:tcPr>
          <w:p w:rsidR="00CB76EC" w:rsidRDefault="00CB76EC" w:rsidP="00CB76EC">
            <w:pPr>
              <w:spacing w:after="120" w:line="240" w:lineRule="auto"/>
              <w:contextualSpacing/>
              <w:rPr>
                <w:sz w:val="24"/>
                <w:szCs w:val="24"/>
              </w:rPr>
            </w:pPr>
            <w:r>
              <w:rPr>
                <w:sz w:val="24"/>
                <w:szCs w:val="24"/>
              </w:rPr>
              <w:t>Для участия в торгах по продаже Лота № 1 претендент должен внести задаток, путем перечисления денежных средств по следующим реквизитам: получатель платежа: ИП Глава КФХ Ахметов Раян Шайдуллович ОГРНИП 306643214500037, ИНН 640900476700, р/с 40802810856200000373 в ПАО «Сбербанк», к/с 30101810500000000649, ИНН 770708383893, КПП 645502001, БИК 046311649. Задаток может быть внесен в течение срока, определенного для подачи заявок на участие в торгах.</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CB76EC">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6EC"/>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1927</Words>
  <Characters>10986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2017-01-16T13:46:00Z</dcterms:created>
  <dcterms:modified xsi:type="dcterms:W3CDTF">2017-01-16T13:46:00Z</dcterms:modified>
</cp:coreProperties>
</file>