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Pr="00334D8D" w:rsidRDefault="0020620D" w:rsidP="00F000F2">
      <w:pPr>
        <w:contextualSpacing/>
        <w:jc w:val="center"/>
        <w:rPr>
          <w:b/>
          <w:sz w:val="24"/>
          <w:szCs w:val="24"/>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FF151D">
        <w:rPr>
          <w:b/>
          <w:sz w:val="24"/>
          <w:szCs w:val="24"/>
        </w:rPr>
        <w:t>1</w:t>
      </w:r>
      <w:r w:rsidR="00424B57">
        <w:rPr>
          <w:b/>
          <w:sz w:val="24"/>
          <w:szCs w:val="24"/>
        </w:rPr>
        <w:t>.</w:t>
      </w:r>
    </w:p>
    <w:p w:rsidR="0020620D" w:rsidRPr="00334D8D" w:rsidRDefault="0020620D" w:rsidP="00F000F2">
      <w:pPr>
        <w:contextualSpacing/>
        <w:rPr>
          <w:sz w:val="24"/>
          <w:szCs w:val="24"/>
        </w:rPr>
      </w:pPr>
      <w:r w:rsidRPr="00334D8D">
        <w:rPr>
          <w:sz w:val="24"/>
          <w:szCs w:val="24"/>
        </w:rPr>
        <w:t xml:space="preserve">Я, </w:t>
      </w:r>
      <w:bookmarkStart w:id="2" w:name="ФИО"/>
      <w:bookmarkEnd w:id="2"/>
      <w:r w:rsidR="00FF151D">
        <w:rPr>
          <w:sz w:val="24"/>
          <w:szCs w:val="24"/>
        </w:rPr>
        <w:t>Общество с ограниченной ответственностью "Центр экономики и права"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FF151D">
        <w:rPr>
          <w:sz w:val="24"/>
          <w:szCs w:val="24"/>
        </w:rPr>
        <w:t>открытый аукцион</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FF151D">
        <w:rPr>
          <w:sz w:val="24"/>
          <w:szCs w:val="24"/>
        </w:rPr>
        <w:t>АО0002550</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FF151D">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FF151D">
        <w:rPr>
          <w:sz w:val="24"/>
          <w:szCs w:val="24"/>
        </w:rPr>
        <w:t>Общество с ограниченной ответственностью «Михайловское»</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FF151D">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FF151D">
        <w:rPr>
          <w:sz w:val="24"/>
          <w:szCs w:val="24"/>
        </w:rPr>
        <w:t>АО0002550</w:t>
      </w:r>
      <w:r w:rsidR="00224412">
        <w:rPr>
          <w:sz w:val="24"/>
          <w:szCs w:val="24"/>
          <w:lang w:val="en-US"/>
        </w:rPr>
        <w:t>.</w:t>
      </w:r>
    </w:p>
    <w:tbl>
      <w:tblPr>
        <w:tblStyle w:val="a5"/>
        <w:tblW w:w="0" w:type="auto"/>
        <w:tblLook w:val="04A0" w:firstRow="1" w:lastRow="0" w:firstColumn="1" w:lastColumn="0" w:noHBand="0" w:noVBand="1"/>
      </w:tblPr>
      <w:tblGrid>
        <w:gridCol w:w="2864"/>
        <w:gridCol w:w="7818"/>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FF151D" w:rsidP="00F000F2">
            <w:pPr>
              <w:contextualSpacing/>
              <w:rPr>
                <w:sz w:val="24"/>
                <w:szCs w:val="24"/>
              </w:rPr>
            </w:pPr>
            <w:bookmarkStart w:id="9" w:name="ФормаПредставление"/>
            <w:bookmarkEnd w:id="9"/>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FF151D">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FF151D">
              <w:rPr>
                <w:sz w:val="24"/>
                <w:szCs w:val="24"/>
              </w:rPr>
              <w:t>Общество с ограниченной ответственностью «Михайловское»</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FF151D" w:rsidP="00F000F2">
            <w:pPr>
              <w:contextualSpacing/>
              <w:rPr>
                <w:sz w:val="24"/>
                <w:szCs w:val="24"/>
                <w:lang w:val="en-US"/>
              </w:rPr>
            </w:pPr>
            <w:bookmarkStart w:id="12" w:name="ДопСведение"/>
            <w:bookmarkEnd w:id="12"/>
            <w:r>
              <w:rPr>
                <w:sz w:val="24"/>
                <w:szCs w:val="24"/>
                <w:lang w:val="en-US"/>
              </w:rPr>
              <w:t xml:space="preserve">На торги единым лотом выставляется предприятие должника, в соответствии со статьей 179 Закона о банкротстве, </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FF151D">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FF151D">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FF151D"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14.03.2016</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9:00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FF151D" w:rsidP="00F000F2">
            <w:pPr>
              <w:contextualSpacing/>
              <w:rPr>
                <w:sz w:val="24"/>
                <w:szCs w:val="24"/>
                <w:lang w:val="en-US"/>
              </w:rPr>
            </w:pPr>
            <w:bookmarkStart w:id="17" w:name="ДатаКонПриемЗаявки_ддммгг"/>
            <w:bookmarkEnd w:id="17"/>
            <w:r>
              <w:rPr>
                <w:sz w:val="24"/>
                <w:szCs w:val="24"/>
              </w:rPr>
              <w:t>18.04.2016</w:t>
            </w:r>
            <w:r w:rsidR="004878B7">
              <w:rPr>
                <w:sz w:val="24"/>
                <w:szCs w:val="24"/>
              </w:rPr>
              <w:t xml:space="preserve"> года в </w:t>
            </w:r>
            <w:bookmarkStart w:id="18" w:name="ВремяКонПриемЗаявки_ччмм"/>
            <w:bookmarkEnd w:id="18"/>
            <w:r>
              <w:rPr>
                <w:sz w:val="24"/>
                <w:szCs w:val="24"/>
              </w:rPr>
              <w:t>18:00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FF151D" w:rsidP="00F000F2">
            <w:pPr>
              <w:contextualSpacing/>
              <w:rPr>
                <w:sz w:val="24"/>
                <w:szCs w:val="24"/>
                <w:lang w:val="en-US"/>
              </w:rPr>
            </w:pPr>
            <w:bookmarkStart w:id="19" w:name="ДатаПубСМИ_ддммгг"/>
            <w:bookmarkEnd w:id="19"/>
            <w:r>
              <w:rPr>
                <w:sz w:val="24"/>
                <w:szCs w:val="24"/>
              </w:rPr>
              <w:t>12.03.2016</w:t>
            </w:r>
            <w:r w:rsidR="004878B7">
              <w:rPr>
                <w:sz w:val="24"/>
                <w:szCs w:val="24"/>
              </w:rPr>
              <w:t xml:space="preserve"> года в </w:t>
            </w:r>
            <w:bookmarkStart w:id="20" w:name="ВремяПубСМИ_ччмм"/>
            <w:bookmarkEnd w:id="20"/>
            <w:r>
              <w:rPr>
                <w:sz w:val="24"/>
                <w:szCs w:val="24"/>
              </w:rPr>
              <w:t>9:00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FF151D" w:rsidP="00F000F2">
            <w:pPr>
              <w:contextualSpacing/>
              <w:rPr>
                <w:sz w:val="24"/>
                <w:szCs w:val="24"/>
                <w:lang w:val="en-US"/>
              </w:rPr>
            </w:pPr>
            <w:bookmarkStart w:id="21" w:name="ДатаПубОрган_ддммгг"/>
            <w:bookmarkEnd w:id="21"/>
            <w:r>
              <w:rPr>
                <w:sz w:val="24"/>
                <w:szCs w:val="24"/>
              </w:rPr>
              <w:t>11.03.2016</w:t>
            </w:r>
            <w:r w:rsidR="004878B7">
              <w:rPr>
                <w:sz w:val="24"/>
                <w:szCs w:val="24"/>
              </w:rPr>
              <w:t xml:space="preserve"> года в </w:t>
            </w:r>
            <w:bookmarkStart w:id="22" w:name="ВремяПубОрган_ччмм"/>
            <w:bookmarkEnd w:id="22"/>
            <w:r>
              <w:rPr>
                <w:sz w:val="24"/>
                <w:szCs w:val="24"/>
              </w:rPr>
              <w:t>9:00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FF151D" w:rsidP="00F000F2">
            <w:pPr>
              <w:contextualSpacing/>
              <w:rPr>
                <w:sz w:val="24"/>
                <w:szCs w:val="24"/>
              </w:rPr>
            </w:pPr>
            <w:bookmarkStart w:id="23" w:name="ДатаПубРеестр_ддммгг"/>
            <w:bookmarkEnd w:id="23"/>
            <w:r>
              <w:rPr>
                <w:sz w:val="24"/>
                <w:szCs w:val="24"/>
              </w:rPr>
              <w:t>10.03.2016</w:t>
            </w:r>
            <w:r w:rsidR="004878B7">
              <w:rPr>
                <w:sz w:val="24"/>
                <w:szCs w:val="24"/>
              </w:rPr>
              <w:t xml:space="preserve"> года в </w:t>
            </w:r>
            <w:bookmarkStart w:id="24" w:name="ВремяПубРеестр_ччмм"/>
            <w:bookmarkEnd w:id="24"/>
            <w:r>
              <w:rPr>
                <w:sz w:val="24"/>
                <w:szCs w:val="24"/>
              </w:rPr>
              <w:t>16:25</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FF151D">
        <w:tblPrEx>
          <w:tblCellMar>
            <w:top w:w="0" w:type="dxa"/>
            <w:bottom w:w="0" w:type="dxa"/>
          </w:tblCellMar>
        </w:tblPrEx>
        <w:tc>
          <w:tcPr>
            <w:tcW w:w="5341" w:type="dxa"/>
          </w:tcPr>
          <w:p w:rsidR="00FF151D" w:rsidRDefault="00FF151D" w:rsidP="00FF151D">
            <w:pPr>
              <w:spacing w:after="120" w:line="240" w:lineRule="auto"/>
              <w:contextualSpacing/>
              <w:rPr>
                <w:sz w:val="24"/>
                <w:szCs w:val="24"/>
              </w:rPr>
            </w:pPr>
            <w:bookmarkStart w:id="25" w:name="ОрганизаторТорги"/>
            <w:bookmarkEnd w:id="25"/>
            <w:r>
              <w:rPr>
                <w:sz w:val="24"/>
                <w:szCs w:val="24"/>
              </w:rPr>
              <w:t>Полное наименование организации</w:t>
            </w:r>
          </w:p>
        </w:tc>
        <w:tc>
          <w:tcPr>
            <w:tcW w:w="5341" w:type="dxa"/>
          </w:tcPr>
          <w:p w:rsidR="00FF151D" w:rsidRDefault="00FF151D" w:rsidP="00FF151D">
            <w:pPr>
              <w:spacing w:after="120" w:line="240" w:lineRule="auto"/>
              <w:contextualSpacing/>
              <w:rPr>
                <w:sz w:val="24"/>
                <w:szCs w:val="24"/>
              </w:rPr>
            </w:pPr>
            <w:r>
              <w:rPr>
                <w:sz w:val="24"/>
                <w:szCs w:val="24"/>
              </w:rPr>
              <w:t>Общество с ограниченной ответственностью "Центр экономики и права"</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sz w:val="24"/>
                <w:szCs w:val="24"/>
              </w:rPr>
            </w:pPr>
            <w:r>
              <w:rPr>
                <w:sz w:val="24"/>
                <w:szCs w:val="24"/>
              </w:rPr>
              <w:t>Краткое наименование организации</w:t>
            </w:r>
          </w:p>
        </w:tc>
        <w:tc>
          <w:tcPr>
            <w:tcW w:w="5341" w:type="dxa"/>
          </w:tcPr>
          <w:p w:rsidR="00FF151D" w:rsidRDefault="00FF151D" w:rsidP="00FF151D">
            <w:pPr>
              <w:spacing w:after="120" w:line="240" w:lineRule="auto"/>
              <w:contextualSpacing/>
              <w:rPr>
                <w:sz w:val="24"/>
                <w:szCs w:val="24"/>
              </w:rPr>
            </w:pPr>
            <w:r>
              <w:rPr>
                <w:sz w:val="24"/>
                <w:szCs w:val="24"/>
              </w:rPr>
              <w:t>ООО "ЦЭП"</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sz w:val="24"/>
                <w:szCs w:val="24"/>
              </w:rPr>
            </w:pPr>
            <w:r>
              <w:rPr>
                <w:sz w:val="24"/>
                <w:szCs w:val="24"/>
              </w:rPr>
              <w:t>ИНН</w:t>
            </w:r>
          </w:p>
        </w:tc>
        <w:tc>
          <w:tcPr>
            <w:tcW w:w="5341" w:type="dxa"/>
          </w:tcPr>
          <w:p w:rsidR="00FF151D" w:rsidRDefault="00FF151D" w:rsidP="00FF151D">
            <w:pPr>
              <w:spacing w:after="120" w:line="240" w:lineRule="auto"/>
              <w:contextualSpacing/>
              <w:rPr>
                <w:sz w:val="24"/>
                <w:szCs w:val="24"/>
              </w:rPr>
            </w:pPr>
            <w:r>
              <w:rPr>
                <w:sz w:val="24"/>
                <w:szCs w:val="24"/>
              </w:rPr>
              <w:t>6452932433</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sz w:val="24"/>
                <w:szCs w:val="24"/>
              </w:rPr>
            </w:pPr>
            <w:r>
              <w:rPr>
                <w:sz w:val="24"/>
                <w:szCs w:val="24"/>
              </w:rPr>
              <w:t>КПП</w:t>
            </w:r>
          </w:p>
        </w:tc>
        <w:tc>
          <w:tcPr>
            <w:tcW w:w="5341" w:type="dxa"/>
          </w:tcPr>
          <w:p w:rsidR="00FF151D" w:rsidRDefault="00FF151D" w:rsidP="00FF151D">
            <w:pPr>
              <w:spacing w:after="120" w:line="240" w:lineRule="auto"/>
              <w:contextualSpacing/>
              <w:rPr>
                <w:sz w:val="24"/>
                <w:szCs w:val="24"/>
              </w:rPr>
            </w:pPr>
            <w:r>
              <w:rPr>
                <w:sz w:val="24"/>
                <w:szCs w:val="24"/>
              </w:rPr>
              <w:t>645201001</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sz w:val="24"/>
                <w:szCs w:val="24"/>
              </w:rPr>
            </w:pPr>
            <w:r>
              <w:rPr>
                <w:sz w:val="24"/>
                <w:szCs w:val="24"/>
              </w:rPr>
              <w:t>ОГРН</w:t>
            </w:r>
          </w:p>
        </w:tc>
        <w:tc>
          <w:tcPr>
            <w:tcW w:w="5341" w:type="dxa"/>
          </w:tcPr>
          <w:p w:rsidR="00FF151D" w:rsidRDefault="00FF151D" w:rsidP="00FF151D">
            <w:pPr>
              <w:spacing w:after="120" w:line="240" w:lineRule="auto"/>
              <w:contextualSpacing/>
              <w:rPr>
                <w:sz w:val="24"/>
                <w:szCs w:val="24"/>
              </w:rPr>
            </w:pPr>
            <w:r>
              <w:rPr>
                <w:sz w:val="24"/>
                <w:szCs w:val="24"/>
              </w:rPr>
              <w:t>1076450011197</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sz w:val="24"/>
                <w:szCs w:val="24"/>
              </w:rPr>
            </w:pPr>
            <w:r>
              <w:rPr>
                <w:sz w:val="24"/>
                <w:szCs w:val="24"/>
              </w:rPr>
              <w:t>Юридический адрес</w:t>
            </w:r>
          </w:p>
        </w:tc>
        <w:tc>
          <w:tcPr>
            <w:tcW w:w="5341" w:type="dxa"/>
          </w:tcPr>
          <w:p w:rsidR="00FF151D" w:rsidRDefault="00FF151D" w:rsidP="00FF151D">
            <w:pPr>
              <w:spacing w:after="120" w:line="240" w:lineRule="auto"/>
              <w:contextualSpacing/>
              <w:rPr>
                <w:sz w:val="24"/>
                <w:szCs w:val="24"/>
              </w:rPr>
            </w:pPr>
            <w:r>
              <w:rPr>
                <w:sz w:val="24"/>
                <w:szCs w:val="24"/>
              </w:rPr>
              <w:t>410005, Саратов, Саратовская область, Саратов, им. Разина С.Т., 78</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FF151D">
        <w:tblPrEx>
          <w:tblCellMar>
            <w:top w:w="0" w:type="dxa"/>
            <w:bottom w:w="0" w:type="dxa"/>
          </w:tblCellMar>
        </w:tblPrEx>
        <w:tc>
          <w:tcPr>
            <w:tcW w:w="5341" w:type="dxa"/>
          </w:tcPr>
          <w:p w:rsidR="00FF151D" w:rsidRDefault="00FF151D" w:rsidP="00FF151D">
            <w:pPr>
              <w:spacing w:after="120" w:line="240" w:lineRule="auto"/>
              <w:contextualSpacing/>
              <w:rPr>
                <w:sz w:val="24"/>
                <w:szCs w:val="24"/>
              </w:rPr>
            </w:pPr>
            <w:bookmarkStart w:id="26" w:name="Арбитр"/>
            <w:bookmarkEnd w:id="26"/>
            <w:r>
              <w:rPr>
                <w:sz w:val="24"/>
                <w:szCs w:val="24"/>
              </w:rPr>
              <w:t>ФИО</w:t>
            </w:r>
          </w:p>
        </w:tc>
        <w:tc>
          <w:tcPr>
            <w:tcW w:w="5341" w:type="dxa"/>
          </w:tcPr>
          <w:p w:rsidR="00FF151D" w:rsidRDefault="00FF151D" w:rsidP="00FF151D">
            <w:pPr>
              <w:spacing w:after="120" w:line="240" w:lineRule="auto"/>
              <w:contextualSpacing/>
              <w:rPr>
                <w:sz w:val="24"/>
                <w:szCs w:val="24"/>
              </w:rPr>
            </w:pPr>
            <w:r>
              <w:rPr>
                <w:sz w:val="24"/>
                <w:szCs w:val="24"/>
              </w:rPr>
              <w:t>Урсу Юрий Николаевич</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sz w:val="24"/>
                <w:szCs w:val="24"/>
              </w:rPr>
            </w:pPr>
            <w:r>
              <w:rPr>
                <w:sz w:val="24"/>
                <w:szCs w:val="24"/>
              </w:rPr>
              <w:t>ИНН</w:t>
            </w:r>
          </w:p>
        </w:tc>
        <w:tc>
          <w:tcPr>
            <w:tcW w:w="5341" w:type="dxa"/>
          </w:tcPr>
          <w:p w:rsidR="00FF151D" w:rsidRDefault="00FF151D" w:rsidP="00FF151D">
            <w:pPr>
              <w:spacing w:after="120" w:line="240" w:lineRule="auto"/>
              <w:contextualSpacing/>
              <w:rPr>
                <w:sz w:val="24"/>
                <w:szCs w:val="24"/>
              </w:rPr>
            </w:pPr>
            <w:r>
              <w:rPr>
                <w:sz w:val="24"/>
                <w:szCs w:val="24"/>
              </w:rPr>
              <w:t>640200080990</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sz w:val="24"/>
                <w:szCs w:val="24"/>
              </w:rPr>
            </w:pPr>
            <w:r>
              <w:rPr>
                <w:sz w:val="24"/>
                <w:szCs w:val="24"/>
              </w:rPr>
              <w:t>Наименование СРО</w:t>
            </w:r>
          </w:p>
        </w:tc>
        <w:tc>
          <w:tcPr>
            <w:tcW w:w="5341" w:type="dxa"/>
          </w:tcPr>
          <w:p w:rsidR="00FF151D" w:rsidRDefault="00FF151D" w:rsidP="00FF151D">
            <w:pPr>
              <w:spacing w:after="120" w:line="240" w:lineRule="auto"/>
              <w:contextualSpacing/>
              <w:rPr>
                <w:sz w:val="24"/>
                <w:szCs w:val="24"/>
              </w:rPr>
            </w:pPr>
            <w:r>
              <w:rPr>
                <w:sz w:val="24"/>
                <w:szCs w:val="24"/>
              </w:rPr>
              <w:t>СРО «ААУ «Паритет»</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sz w:val="24"/>
                <w:szCs w:val="24"/>
              </w:rPr>
            </w:pPr>
            <w:r>
              <w:rPr>
                <w:sz w:val="24"/>
                <w:szCs w:val="24"/>
              </w:rPr>
              <w:t>Регистрационный номер ФРС</w:t>
            </w:r>
          </w:p>
        </w:tc>
        <w:tc>
          <w:tcPr>
            <w:tcW w:w="5341" w:type="dxa"/>
          </w:tcPr>
          <w:p w:rsidR="00FF151D" w:rsidRDefault="00FF151D" w:rsidP="00FF151D">
            <w:pPr>
              <w:spacing w:after="120" w:line="240" w:lineRule="auto"/>
              <w:contextualSpacing/>
              <w:rPr>
                <w:sz w:val="24"/>
                <w:szCs w:val="24"/>
              </w:rPr>
            </w:pPr>
            <w:r>
              <w:rPr>
                <w:sz w:val="24"/>
                <w:szCs w:val="24"/>
              </w:rPr>
              <w:t>8920</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FF151D">
        <w:tblPrEx>
          <w:tblCellMar>
            <w:top w:w="0" w:type="dxa"/>
            <w:bottom w:w="0" w:type="dxa"/>
          </w:tblCellMar>
        </w:tblPrEx>
        <w:tc>
          <w:tcPr>
            <w:tcW w:w="5341" w:type="dxa"/>
          </w:tcPr>
          <w:p w:rsidR="00FF151D" w:rsidRDefault="00FF151D" w:rsidP="00FF151D">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rsidR="00FF151D" w:rsidRDefault="00FF151D" w:rsidP="00FF151D">
            <w:pPr>
              <w:spacing w:after="120" w:line="240" w:lineRule="auto"/>
              <w:contextualSpacing/>
              <w:rPr>
                <w:sz w:val="24"/>
                <w:szCs w:val="24"/>
              </w:rPr>
            </w:pPr>
            <w:r>
              <w:rPr>
                <w:sz w:val="24"/>
                <w:szCs w:val="24"/>
              </w:rPr>
              <w:t>Арбитражный суд Саратовской области</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sz w:val="24"/>
                <w:szCs w:val="24"/>
              </w:rPr>
            </w:pPr>
            <w:r>
              <w:rPr>
                <w:sz w:val="24"/>
                <w:szCs w:val="24"/>
              </w:rPr>
              <w:t>Номер дела о банкротстве</w:t>
            </w:r>
          </w:p>
        </w:tc>
        <w:tc>
          <w:tcPr>
            <w:tcW w:w="5341" w:type="dxa"/>
          </w:tcPr>
          <w:p w:rsidR="00FF151D" w:rsidRDefault="00FF151D" w:rsidP="00FF151D">
            <w:pPr>
              <w:spacing w:after="120" w:line="240" w:lineRule="auto"/>
              <w:contextualSpacing/>
              <w:rPr>
                <w:sz w:val="24"/>
                <w:szCs w:val="24"/>
              </w:rPr>
            </w:pPr>
            <w:r>
              <w:rPr>
                <w:sz w:val="24"/>
                <w:szCs w:val="24"/>
              </w:rPr>
              <w:t>А57-2594/2014</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sz w:val="24"/>
                <w:szCs w:val="24"/>
              </w:rPr>
            </w:pPr>
            <w:r>
              <w:rPr>
                <w:sz w:val="24"/>
                <w:szCs w:val="24"/>
              </w:rPr>
              <w:t>Основание для проведения торгов</w:t>
            </w:r>
          </w:p>
        </w:tc>
        <w:tc>
          <w:tcPr>
            <w:tcW w:w="5341" w:type="dxa"/>
          </w:tcPr>
          <w:p w:rsidR="00FF151D" w:rsidRDefault="00FF151D" w:rsidP="00FF151D">
            <w:pPr>
              <w:spacing w:after="120" w:line="240" w:lineRule="auto"/>
              <w:contextualSpacing/>
              <w:rPr>
                <w:sz w:val="24"/>
                <w:szCs w:val="24"/>
              </w:rPr>
            </w:pPr>
            <w:r>
              <w:rPr>
                <w:sz w:val="24"/>
                <w:szCs w:val="24"/>
              </w:rPr>
              <w:t>Определение арбитражного суда Саратовской области от 21 августа 2014 года по делу №А57-2594/2014</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FF151D">
        <w:tblPrEx>
          <w:tblCellMar>
            <w:top w:w="0" w:type="dxa"/>
            <w:bottom w:w="0" w:type="dxa"/>
          </w:tblCellMar>
        </w:tblPrEx>
        <w:tc>
          <w:tcPr>
            <w:tcW w:w="5341" w:type="dxa"/>
          </w:tcPr>
          <w:p w:rsidR="00FF151D" w:rsidRDefault="00FF151D" w:rsidP="00FF151D">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rsidR="00FF151D" w:rsidRDefault="00FF151D" w:rsidP="00FF151D">
            <w:pPr>
              <w:spacing w:after="120" w:line="240" w:lineRule="auto"/>
              <w:contextualSpacing/>
              <w:rPr>
                <w:sz w:val="24"/>
                <w:szCs w:val="24"/>
              </w:rPr>
            </w:pPr>
            <w:r>
              <w:rPr>
                <w:sz w:val="24"/>
                <w:szCs w:val="24"/>
              </w:rPr>
              <w:t>Юридическое лицо</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sz w:val="24"/>
                <w:szCs w:val="24"/>
              </w:rPr>
            </w:pPr>
            <w:r>
              <w:rPr>
                <w:sz w:val="24"/>
                <w:szCs w:val="24"/>
              </w:rPr>
              <w:t>Полное наименование организации</w:t>
            </w:r>
          </w:p>
        </w:tc>
        <w:tc>
          <w:tcPr>
            <w:tcW w:w="5341" w:type="dxa"/>
          </w:tcPr>
          <w:p w:rsidR="00FF151D" w:rsidRDefault="00FF151D" w:rsidP="00FF151D">
            <w:pPr>
              <w:spacing w:after="120" w:line="240" w:lineRule="auto"/>
              <w:contextualSpacing/>
              <w:rPr>
                <w:sz w:val="24"/>
                <w:szCs w:val="24"/>
              </w:rPr>
            </w:pPr>
            <w:r>
              <w:rPr>
                <w:sz w:val="24"/>
                <w:szCs w:val="24"/>
              </w:rPr>
              <w:t>Общество с ограниченной ответственностью «Михайловское»</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sz w:val="24"/>
                <w:szCs w:val="24"/>
              </w:rPr>
            </w:pPr>
            <w:r>
              <w:rPr>
                <w:sz w:val="24"/>
                <w:szCs w:val="24"/>
              </w:rPr>
              <w:t>Краткое наименование организации</w:t>
            </w:r>
          </w:p>
        </w:tc>
        <w:tc>
          <w:tcPr>
            <w:tcW w:w="5341" w:type="dxa"/>
          </w:tcPr>
          <w:p w:rsidR="00FF151D" w:rsidRDefault="00FF151D" w:rsidP="00FF151D">
            <w:pPr>
              <w:spacing w:after="120" w:line="240" w:lineRule="auto"/>
              <w:contextualSpacing/>
              <w:rPr>
                <w:sz w:val="24"/>
                <w:szCs w:val="24"/>
              </w:rPr>
            </w:pPr>
            <w:r>
              <w:rPr>
                <w:sz w:val="24"/>
                <w:szCs w:val="24"/>
              </w:rPr>
              <w:t>ООО «Михайловское»</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sz w:val="24"/>
                <w:szCs w:val="24"/>
              </w:rPr>
            </w:pPr>
            <w:r>
              <w:rPr>
                <w:sz w:val="24"/>
                <w:szCs w:val="24"/>
              </w:rPr>
              <w:t>ИНН</w:t>
            </w:r>
          </w:p>
        </w:tc>
        <w:tc>
          <w:tcPr>
            <w:tcW w:w="5341" w:type="dxa"/>
          </w:tcPr>
          <w:p w:rsidR="00FF151D" w:rsidRDefault="00FF151D" w:rsidP="00FF151D">
            <w:pPr>
              <w:spacing w:after="120" w:line="240" w:lineRule="auto"/>
              <w:contextualSpacing/>
              <w:rPr>
                <w:sz w:val="24"/>
                <w:szCs w:val="24"/>
              </w:rPr>
            </w:pPr>
            <w:r>
              <w:rPr>
                <w:sz w:val="24"/>
                <w:szCs w:val="24"/>
              </w:rPr>
              <w:t>6443021427</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sz w:val="24"/>
                <w:szCs w:val="24"/>
              </w:rPr>
            </w:pPr>
            <w:r>
              <w:rPr>
                <w:sz w:val="24"/>
                <w:szCs w:val="24"/>
              </w:rPr>
              <w:t>ОГРН</w:t>
            </w:r>
          </w:p>
        </w:tc>
        <w:tc>
          <w:tcPr>
            <w:tcW w:w="5341" w:type="dxa"/>
          </w:tcPr>
          <w:p w:rsidR="00FF151D" w:rsidRDefault="00FF151D" w:rsidP="00FF151D">
            <w:pPr>
              <w:spacing w:after="120" w:line="240" w:lineRule="auto"/>
              <w:contextualSpacing/>
              <w:rPr>
                <w:sz w:val="24"/>
                <w:szCs w:val="24"/>
              </w:rPr>
            </w:pPr>
            <w:r>
              <w:rPr>
                <w:sz w:val="24"/>
                <w:szCs w:val="24"/>
              </w:rPr>
              <w:t>1136449002260</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FF151D" w:rsidRDefault="00FF151D" w:rsidP="00FF151D">
            <w:pPr>
              <w:spacing w:after="120" w:line="240" w:lineRule="auto"/>
              <w:contextualSpacing/>
              <w:rPr>
                <w:sz w:val="24"/>
                <w:szCs w:val="24"/>
              </w:rPr>
            </w:pPr>
            <w:r>
              <w:rPr>
                <w:sz w:val="24"/>
                <w:szCs w:val="24"/>
              </w:rPr>
              <w:t>В течение 2 (двух) рабочих дней с даты подписания протокола о результатах проведения торгов организатор торгов направляет победителю торгов копию этого протокола. В течение 5 (пяти) дней с даты подписания этого протокола конкурсный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В случае отказа или уклонения победителя торгов от подписания данного договора в течение 5 (пяти) дней с даты получения указанного предложения конкурсного управляющего внесенный задаток ему не возвращается и конкурсный управляющий вправе предложить заключить договор купли-продажи имущества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торгов.</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FF151D">
        <w:tblPrEx>
          <w:tblCellMar>
            <w:top w:w="0" w:type="dxa"/>
            <w:bottom w:w="0" w:type="dxa"/>
          </w:tblCellMar>
        </w:tblPrEx>
        <w:tc>
          <w:tcPr>
            <w:tcW w:w="5341" w:type="dxa"/>
          </w:tcPr>
          <w:p w:rsidR="00FF151D" w:rsidRDefault="00FF151D" w:rsidP="00FF151D">
            <w:pPr>
              <w:spacing w:after="120" w:line="240" w:lineRule="auto"/>
              <w:contextualSpacing/>
              <w:rPr>
                <w:sz w:val="24"/>
                <w:szCs w:val="24"/>
              </w:rPr>
            </w:pPr>
            <w:bookmarkStart w:id="29" w:name="КонтактноеЛицо"/>
            <w:bookmarkEnd w:id="29"/>
            <w:r>
              <w:rPr>
                <w:sz w:val="24"/>
                <w:szCs w:val="24"/>
              </w:rPr>
              <w:t>ФИО</w:t>
            </w:r>
          </w:p>
        </w:tc>
        <w:tc>
          <w:tcPr>
            <w:tcW w:w="5341" w:type="dxa"/>
          </w:tcPr>
          <w:p w:rsidR="00FF151D" w:rsidRDefault="00FF151D" w:rsidP="00FF151D">
            <w:pPr>
              <w:spacing w:after="120" w:line="240" w:lineRule="auto"/>
              <w:contextualSpacing/>
              <w:rPr>
                <w:sz w:val="24"/>
                <w:szCs w:val="24"/>
              </w:rPr>
            </w:pPr>
            <w:r>
              <w:rPr>
                <w:sz w:val="24"/>
                <w:szCs w:val="24"/>
              </w:rPr>
              <w:t xml:space="preserve">ООО «ЦЭП» </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sz w:val="24"/>
                <w:szCs w:val="24"/>
              </w:rPr>
            </w:pPr>
            <w:r>
              <w:rPr>
                <w:sz w:val="24"/>
                <w:szCs w:val="24"/>
              </w:rPr>
              <w:t>Контактный телефон</w:t>
            </w:r>
          </w:p>
        </w:tc>
        <w:tc>
          <w:tcPr>
            <w:tcW w:w="5341" w:type="dxa"/>
          </w:tcPr>
          <w:p w:rsidR="00FF151D" w:rsidRDefault="00FF151D" w:rsidP="00FF151D">
            <w:pPr>
              <w:spacing w:after="120" w:line="240" w:lineRule="auto"/>
              <w:contextualSpacing/>
              <w:rPr>
                <w:sz w:val="24"/>
                <w:szCs w:val="24"/>
              </w:rPr>
            </w:pPr>
            <w:r>
              <w:rPr>
                <w:sz w:val="24"/>
                <w:szCs w:val="24"/>
              </w:rPr>
              <w:t>8-800-550-96-60</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sz w:val="24"/>
                <w:szCs w:val="24"/>
              </w:rPr>
            </w:pPr>
            <w:r>
              <w:rPr>
                <w:sz w:val="24"/>
                <w:szCs w:val="24"/>
              </w:rPr>
              <w:t>Адрес электронной почты</w:t>
            </w:r>
          </w:p>
        </w:tc>
        <w:tc>
          <w:tcPr>
            <w:tcW w:w="5341" w:type="dxa"/>
          </w:tcPr>
          <w:p w:rsidR="00FF151D" w:rsidRDefault="00FF151D" w:rsidP="00FF151D">
            <w:pPr>
              <w:spacing w:after="120" w:line="240" w:lineRule="auto"/>
              <w:contextualSpacing/>
              <w:rPr>
                <w:sz w:val="24"/>
                <w:szCs w:val="24"/>
              </w:rPr>
            </w:pPr>
            <w:r>
              <w:rPr>
                <w:sz w:val="24"/>
                <w:szCs w:val="24"/>
              </w:rPr>
              <w:t>mail@tsep.me</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FF151D" w:rsidRDefault="00FF151D"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FF151D">
        <w:tblPrEx>
          <w:tblCellMar>
            <w:top w:w="0" w:type="dxa"/>
            <w:bottom w:w="0" w:type="dxa"/>
          </w:tblCellMar>
        </w:tblPrEx>
        <w:tc>
          <w:tcPr>
            <w:tcW w:w="5341" w:type="dxa"/>
          </w:tcPr>
          <w:p w:rsidR="00FF151D" w:rsidRDefault="00FF151D" w:rsidP="00FF151D">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FF151D" w:rsidRDefault="00FF151D" w:rsidP="00FF151D">
            <w:pPr>
              <w:spacing w:after="120" w:line="240" w:lineRule="auto"/>
              <w:contextualSpacing/>
              <w:rPr>
                <w:rFonts w:cstheme="minorHAnsi"/>
                <w:sz w:val="24"/>
                <w:szCs w:val="24"/>
              </w:rPr>
            </w:pPr>
            <w:r>
              <w:rPr>
                <w:rFonts w:cstheme="minorHAnsi"/>
                <w:sz w:val="24"/>
                <w:szCs w:val="24"/>
              </w:rPr>
              <w:t>Лот № 1</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FF151D" w:rsidRDefault="00FF151D" w:rsidP="00FF151D">
            <w:pPr>
              <w:spacing w:after="120" w:line="240" w:lineRule="auto"/>
              <w:contextualSpacing/>
              <w:rPr>
                <w:rFonts w:cstheme="minorHAnsi"/>
                <w:sz w:val="24"/>
                <w:szCs w:val="24"/>
              </w:rPr>
            </w:pPr>
            <w:r>
              <w:rPr>
                <w:rFonts w:cstheme="minorHAnsi"/>
                <w:sz w:val="24"/>
                <w:szCs w:val="24"/>
              </w:rPr>
              <w:t xml:space="preserve">Заявки на участие подаются посредством системы электронного документооборота в сети Интернет на сайте http://eurtp.ru. Прием заявок осуществляется с 09 часов 00 минут по московскому времени 14.03.2016 г. по 18 часов 00 минут по московскому времени 18.04.2016 г. включительно. Заявка на участие в торгах оформляется в письменной форме на русском языке и должна содержать сведения, предусмотренные Законом о банкротстве, Приказом № 495 а также следующую информацию: а) обязательство участника открытых торгов соблюдать требования, указанные в сообщении о проведении открытых торгов; б) действительные на день представления заявки на участие в торгах выписки из ЕГРЮЛ (для юр.лица) или выписку из ЕРГИП (для ИП) либо нотариальные копии такой выписки, копии документов, удостоверяющих личность (для физ.лица), надлежащим образом заверенный перевод на русский язык документов о госрегистрации юр. лица или госрегистрации физ. лица в качестве ИП согласно законодательству соответствующего государства (для иностранного лица), копию решения об одобрении или о совершении крупной сделки (если требуется); в) фирменное наименование (наименование), сведения об организационно-правовой форме, о месте нахождения, почтовый адрес (для юр.лица), фамилию, имя, отчество, паспортные данные, сведения о месте жительства (для физ.лица), номер контактного телефона, е-mail, ИНН; г) копии документов, подтверждающих полномочия руководителя (для юр.лиц); д)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 К заявке на участие в торгах должны прилагаться следующие документы: а) Для претендентов - физических лиц: копии документов, удостоверяющих личность заявителя (и представителя заявителя в случае подачи заявки представителем физического лица); нотариально заверенная копия доверенности представителя физического лица в случае подачи заявки представителем физического лица; копия свидетельства о постановке на налоговый учетвыданная налоговым органом (или  нотариально заверенная копия); нотариально заверенное согласие супруга(и);  завереннаякопия платежного документа, подтверждающего внесение (перечисление) задатка по договору о задатке; нотариально заверенная копия свидетельства о государственной регистрации физического лица в качестве индивидуального предпринимателя (для физического лица - индивидуального предпринимателя); выписка из единого государственного реестра индивидуальных предпринимателей, выданная регистрирующим органомне позднее, чем за 10 дней до даты подачи заявки (или нотариально заверенная копия) (дляфизического лица - индивидуального предпринимателя); надлежащим образом заверенный перевод на русский язык выше указанных документов (для иностранного физического лица); б) Для претендентов - юридических лиц: копия свидетельства о государственной регистрации юридического лица, выданная регистрирующим органом (или нотариально заверенная копия); нотариально заверенная копия свидетельства о постановке на налоговый учет, выданная регистрирующим органом (или нотариально заверенная копия); копии учредительных документов юридического лица со всеми изменениямии дополнениями, выданная регистрирующим органом (или нотариально заверенная копии); копии документов, подтверждающие полномочия органов управления и должностных лиц претендента; надлежащим образом оформленные письменные решения соответствующего органа управления претендента об участии в торгах и на совершение сделки, если это необходимо в соответствии с законодательством Российской Федерации или учредительными документами претендента; выписка из единого государственного реестра юридических лиц, выданная  регистрирующим органом не позднее, чем за 10 дней до даты подачи заявки (или нотариально заверенная копия); согласие антимонопольного органа в случаях, установленных законом; заверенная копия платежного документа, подтверждающего внесение (перечисление)задатка по договору о задатке; доверенность на лицо, имеющее право действовать от имени претендента; заверенные копии документов, удостоверяющих личность представителя заявителя; надлежащим образом заверенный перевод на русский язык выше указанных документов (для иностранного юридического лица); </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FF151D" w:rsidRDefault="00FF151D" w:rsidP="00FF151D">
            <w:pPr>
              <w:spacing w:after="120" w:line="240" w:lineRule="auto"/>
              <w:contextualSpacing/>
              <w:rPr>
                <w:rFonts w:cstheme="minorHAnsi"/>
                <w:sz w:val="24"/>
                <w:szCs w:val="24"/>
              </w:rPr>
            </w:pPr>
            <w:r>
              <w:rPr>
                <w:rFonts w:cstheme="minorHAnsi"/>
                <w:sz w:val="24"/>
                <w:szCs w:val="24"/>
              </w:rPr>
              <w:t>Зерноуборочный комбайн РСМ-10Б «Дон-1500Б», 2007г.в., ЗН 096717, № двиг. 70310225, ПТС ВВ 716260, 1 ед., 582 250 руб.; Зерноуборочный комбайн РСМ-10Б «Дон-1500Б», 2007г.в., ЗН 096749, № двиг. 70311063, ПТС ВВ 716261, 1 ед., 582 250 руб.; Зерноуборочный комбайн РСМ-10Б «Дон-1500Б», 2007г.в., ЗН 096750, № двиг. 70310464, ПТС ВВ 716262, 1 ед., 582 250 руб.; Зерноуборочный комбайн РСМ-10Б «Дон-1500Б», 2007г.в., ЗН 096757, № двиг. 70316405, ПТС ВВ 716263, 1 ед., 582 250 руб.; Доильная площадка «Елочка», тип «EUROCLAS S 1200», 2×12 мест, оснащенная оборудованием для управления доением «METATRON DPNET» и системой управления стадом «DAIRY PLAN C 21», 2008г.в., производство: Германия, б/н, 1 ед., 482 749 руб.; Животноводческий комплекс на 100 голов крупного рогатого скота, назначение: объект незавершенного строительства, 1 – этажный, степень готовности 55%, инв.№ 63:226:002:000131850, лит.Г – коровник площадь застройки 1406,4 кв.м., Г1- телятник площадь застройки 245,7 кв.м., Г2 – доильно-молочный блок с родильным отделением площадь застройки 518,2 кв.м., Г3- галерея для перехода животных площадь застройки 63,1 кв.м., I – водонапорная башня объем 15 куб.м., II – КТП № 3 мощностью 25 кВа площадь застройки 9 кв.м., III – электролиния ЗАС-90 протяженность 147 м. и электролиния 4АС-50 протяженность 39 м., IV – выгребная яма объем 15 куб.м., V – выгребная яма объем 5,4 куб.м., 1 ед., 976 000 руб.; Земельный участок (право аренды), категория земель: земли сельскохозяйственного назначения, разрешенное использование: сельскохозяйственное производство, кадастровый номер 64:20:00000:0092, 3 637 Га, 11 308 000 руб.; Культиватор КРН 5,6 без АТП-2Г, 2006г.в., производство Россия, ширина захвата 5,6м., инв. № 986, 987, 988, 989, ЗН 114,145,143,147, 4 ед., 216 000 руб.; Сеялка СЗП – 3,6 широкорядная, 2006г.в., производство Россия, ширина захвата 3,6 м., инв. № 968, 969, 970, ЗН 3510, 3527, 3606, 3 ед., 416 025 руб.; Культиватор КПК 4М с подвеской и подшипником скольжения, 2006г.в., производство Россия, ширина захвата 4м., инв. № 974, 975, 976, 977, 978, 979, 980, 981, 983, 984, 985, ЗН 112, 111, 117, 116, 121, б/н, 31, 32, 122, 115, 124, 12 ед., 1 508 595 руб.; Сцепка СП-8 гидрофицированная, 2006г.в., производство Россия, 8 секций, ширина захвата 6м., инв. № 995, 996, 997, 998, ЗН 891, 893, 892, 894, 4 ед., 231 400 руб.; Сеялка СУПН 8А-02, 2006г.в., производство Россия, ширина захвата 6м., инв. № 991, 992, 993, 994, ЗН 0269, 0234, 0270, 0233, 4 ед., 524 200 руб.; Сеялка СЗ-3,6 – ТА-01, 2006г.в., производство Россия, ширина захвата 3,6м., инв. № 965, 966, 967, ЗН 123, 124, 121, 3 ед., 186 600 руб.; Сеялка СЗ – 5,4 06 с транспортным устройством и прикаткой, 2006г.в., производство Россия, ширина захвата 5,4м., инв. № 971, 972, 973, ЗН 575, 645, 646, 3 ед., 413 613 руб.; Кормоуборочный комбайн КСД-2,1, 2006г.в., ширина захвата 2м, инв. № 990, ЗН 16, 1 ед., 135 913 руб.; ГАЗ-32213 специальное пассажирское транспортное средство, 2008г.в., Х9632213080600924, рама № отсутствует, № двиг. *405240*83021459*, кузов № 32210080376802, ПТС 52 МР 675903, 1 ед., 248 360руб.; Пресс-подборщик рулонный ПР145С, ЗН отсутствует, 2011г.в., производство Россия, ширина захвата – 1,4м., инв. № 1096, 1 ед., 142 263 руб.; Борона дисковая БДМ4*4Н, ЗН 1553, 2006г.в., производство Россия, ширина захвата 4 м, инв. № 1013, 1 ед., 214 945 руб.; Мастер-нагреватель воздуха В100СЕР с ротором, 2011г.в., производство Россия, тепловая мощность 30 кВт, воздушный поток 735 куб.м./час, инв. № 1086, 1 ед., 11 300 руб.; Шлейф-каток на БДМ4*4Н, ЗН 1554, 2006г.в., производство Россия, ширина захвата 4м, инв. № 1014, 1 ед., 59 600 руб.; Дискатор БДМ4-4 с выравнивателем, ЗН 887, 2005г.в., производство Россия, ширина захвата 6м, инв. № 848, 1 ед., 225 905 руб.; Плуг ПНЛ-8-40П, ЗН 336, 2004г.в., производство Россия, состав корпусов – 8 ед. и ширина захвата каждого 0,4м, инв. № 1003а, 1 ед., 87 333 руб.; Кормораздатчик ИСРК 12Г, ЗН 53-043, 2006г.в., производство Белоруссия, инв. № 1020, 1 ед., 581 842 руб.; Аппарат вд 1,524-401 HD 9/20 М, ЗН 023312, 2011г.в., производство Германия, рабочее давление 3-11МПа, производительность 250-600л/ч, инв. №1091, 1 ед., 24 973 руб.; Жатка для уборки подсолнечника ПЗС-8, 2006г.в., пр-во Россия, одна жатка состоит из 8 секций, каждая секция обрабатывает 6 рядов, инв. № 1062, 1087, 1088, 1089, 4 ед., 854 751 руб.; Машина первичной очистки зерна ЗВС-20А, ЗН 1813, 2006г.в., пр-во Россия, обработка зерна 20т/час, инв. №1011, 1 ед., 221 515 руб.; Машина первичной очистки зерна ЗВС-20А, ЗН 1914, 2006г.в., пр-во Россия, обработка зерна 20т/час, инв. №1012, 1 ед., 221 515 руб.; Трактор К-700А, 1999г., рама № 990077, двиг. № 97022969, ПСМ ВА 054419, 1 ед., 547 500 руб.; Трактор МТЗ-80, 1999г.в., рама № 08008888, двиг. № Д-243 423044, ПСМ ВА 054403, 1 ед., 304 491 руб.; Трактор МТЗ-80, 1999г.в., рама № 08008104, двиг. № Д-243 423115, ПСМ ВА 054402, 1 ед., 304 491 руб.; Трактор Беларус-82.1, 2005г.в., рама № 80815439, двиг. № 671543, ПСМ ТА 115413, 1 ед., 328 150 руб.; Трактор Беларус-82.1, 2006г.в., рама № 80824000, двиг. № 689759, ПСМ ТА 238598, 1 ед., 370 900 руб.; Трактор МТЗ-82.1, 2001г.в., рама № 08044273, двиг. № 489237, ПСМ ВВ 426448, 1 ед., 370 900 руб.; Трактор К-700А, 1992г., рама № 9202956, двиг. № 20157049, ПСМ ВВ 261971, 1 ед., 0 руб.; Трактор Т-150К, 1991г.в., рама № 527450, двиг. № 10079507, ПСМ ВВ 337766, 1 ед., 260 500 руб.; Трактор Беларус 82.1, 2006г.в., рама № 80823810, двиг. № 688395, ПСМ ТА 231002, 1 ед., 370 900 руб.; Трактор ДТ-75 ДЕС-4, 2006г.в., рама № 735978, двиг. № 111079, ПСМ ВВ 683547, 1 ед., 396 030 руб.; Трактор К-744Р, 2006г.в., рама № 060042, двиг. № 50268355, ПСМ ВВ 652544, 1 ед., 1 474 750 руб.; Трактор ДТ-75 ДЕС-4, 2006г.в., рама № 735975, двиг. № 111123, ПСМ ВВ 683470, 1 ед., 393 030 руб.; Трактор ДТ-75 ДЕС-4, 2006г.в., рама № 735976, двиг. № 111122, ПСМ ВВ 683471, 1 ед., 393 030 руб.; Трактор ДТ-75 ДЕС-4, 2006г.в., рама № 735981, двиг. № 111080, ПСМ ВВ 683480, 1 ед., 393 030 руб.; Трактор К-744Р, 2006г.в., рама № 060053, двиг. № 60268469, ПСМ ВВ 652545, 1 ед., 1 474 750 руб.; Трактор Беларус 1221, 2005г.в., рама № 12015737, двиг. № 039586, ПСМ ТА 115822, 1 ед., 574 722 руб.; Трактор Беларус 1221, 2005г.в., рама № 12015754, двиг. № 039592, ПСМ ТА 115821, 1 ед., 574 722 руб.; Дождевальные машины «Фрегат», 1986г.в., производство Россия, инв. № 748, 21 ед., 2 200 170 руб.; Дождевальные машины «Фрегат», 1986г.в., производство Россия, инв. № 749, 23 ед., 2 409 710 руб.; КРС, 97 голов, 485 000 руб.; Земельный участок площадью кадастровый номер 64:20:011301:286, 15 690 кв.м., 500 000 руб.</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FF151D" w:rsidRDefault="00FF151D" w:rsidP="00FF151D">
            <w:pPr>
              <w:spacing w:after="120" w:line="240" w:lineRule="auto"/>
              <w:contextualSpacing/>
              <w:rPr>
                <w:rFonts w:cstheme="minorHAnsi"/>
                <w:sz w:val="24"/>
                <w:szCs w:val="24"/>
              </w:rPr>
            </w:pPr>
            <w:r>
              <w:rPr>
                <w:rFonts w:cstheme="minorHAnsi"/>
                <w:sz w:val="24"/>
                <w:szCs w:val="24"/>
              </w:rPr>
              <w:t>35758275</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rsidR="00FF151D" w:rsidRDefault="00FF151D" w:rsidP="00FF151D">
            <w:pPr>
              <w:spacing w:after="120" w:line="240" w:lineRule="auto"/>
              <w:contextualSpacing/>
              <w:rPr>
                <w:rFonts w:cstheme="minorHAnsi"/>
                <w:sz w:val="24"/>
                <w:szCs w:val="24"/>
              </w:rPr>
            </w:pPr>
            <w:r>
              <w:rPr>
                <w:rFonts w:cstheme="minorHAnsi"/>
                <w:sz w:val="24"/>
                <w:szCs w:val="24"/>
              </w:rPr>
              <w:t>4,99999790258339</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rFonts w:cstheme="minorHAnsi"/>
                <w:sz w:val="24"/>
                <w:szCs w:val="24"/>
              </w:rPr>
            </w:pPr>
            <w:r>
              <w:rPr>
                <w:rFonts w:cstheme="minorHAnsi"/>
                <w:sz w:val="24"/>
                <w:szCs w:val="24"/>
              </w:rPr>
              <w:t>Шаг, руб.</w:t>
            </w:r>
          </w:p>
        </w:tc>
        <w:tc>
          <w:tcPr>
            <w:tcW w:w="5341" w:type="dxa"/>
          </w:tcPr>
          <w:p w:rsidR="00FF151D" w:rsidRDefault="00FF151D" w:rsidP="00FF151D">
            <w:pPr>
              <w:spacing w:after="120" w:line="240" w:lineRule="auto"/>
              <w:contextualSpacing/>
              <w:rPr>
                <w:rFonts w:cstheme="minorHAnsi"/>
                <w:sz w:val="24"/>
                <w:szCs w:val="24"/>
              </w:rPr>
            </w:pPr>
            <w:r>
              <w:rPr>
                <w:rFonts w:cstheme="minorHAnsi"/>
                <w:sz w:val="24"/>
                <w:szCs w:val="24"/>
              </w:rPr>
              <w:t xml:space="preserve">1787913 </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FF151D" w:rsidRDefault="00FF151D" w:rsidP="00FF151D">
            <w:pPr>
              <w:spacing w:after="120" w:line="240" w:lineRule="auto"/>
              <w:contextualSpacing/>
              <w:rPr>
                <w:rFonts w:cstheme="minorHAnsi"/>
                <w:sz w:val="24"/>
                <w:szCs w:val="24"/>
              </w:rPr>
            </w:pPr>
            <w:r>
              <w:rPr>
                <w:rFonts w:cstheme="minorHAnsi"/>
                <w:sz w:val="24"/>
                <w:szCs w:val="24"/>
              </w:rPr>
              <w:t>Рубли</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FF151D" w:rsidRDefault="00FF151D" w:rsidP="00FF151D">
            <w:pPr>
              <w:spacing w:after="120" w:line="240" w:lineRule="auto"/>
              <w:contextualSpacing/>
              <w:rPr>
                <w:rFonts w:cstheme="minorHAnsi"/>
                <w:sz w:val="24"/>
                <w:szCs w:val="24"/>
              </w:rPr>
            </w:pPr>
            <w:r>
              <w:rPr>
                <w:rFonts w:cstheme="minorHAnsi"/>
                <w:sz w:val="24"/>
                <w:szCs w:val="24"/>
              </w:rPr>
              <w:t>3575827</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FF151D" w:rsidRDefault="00FF151D" w:rsidP="00FF151D">
            <w:pPr>
              <w:spacing w:after="120" w:line="240" w:lineRule="auto"/>
              <w:contextualSpacing/>
              <w:rPr>
                <w:rFonts w:cstheme="minorHAnsi"/>
                <w:sz w:val="24"/>
                <w:szCs w:val="24"/>
              </w:rPr>
            </w:pPr>
            <w:r>
              <w:rPr>
                <w:rFonts w:cstheme="minorHAnsi"/>
                <w:sz w:val="24"/>
                <w:szCs w:val="24"/>
              </w:rPr>
              <w:t>Суммы внесенных заявителями задатков возвращаются всем заявителям, за исключением победителя торгов, в течение 5 (пяти) рабочих дней со дня подписания протокола о результатах проведения торгов.</w:t>
            </w:r>
          </w:p>
        </w:tc>
      </w:tr>
      <w:tr w:rsidR="00FF151D">
        <w:tblPrEx>
          <w:tblCellMar>
            <w:top w:w="0" w:type="dxa"/>
            <w:bottom w:w="0" w:type="dxa"/>
          </w:tblCellMar>
        </w:tblPrEx>
        <w:tc>
          <w:tcPr>
            <w:tcW w:w="5341" w:type="dxa"/>
          </w:tcPr>
          <w:p w:rsidR="00FF151D" w:rsidRDefault="00FF151D" w:rsidP="00FF151D">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FF151D" w:rsidRDefault="00FF151D" w:rsidP="00FF151D">
            <w:pPr>
              <w:spacing w:after="120" w:line="240" w:lineRule="auto"/>
              <w:contextualSpacing/>
              <w:rPr>
                <w:rFonts w:cstheme="minorHAnsi"/>
                <w:sz w:val="24"/>
                <w:szCs w:val="24"/>
              </w:rPr>
            </w:pPr>
            <w:r>
              <w:rPr>
                <w:rFonts w:cstheme="minorHAnsi"/>
                <w:sz w:val="24"/>
                <w:szCs w:val="24"/>
              </w:rPr>
              <w:t>Срок внесения задатка – с момента публикации в средствах массовой информации и не позднее, чем за 3 (три) дня до даты проведения аукциона. Реквизиты счета: Получатель – ООО «ЦЭП», р/с № 40702810100000006183 в ПАО «НВКбанк» г. Саратов, к/с № 30101810100000000751, БИК 046311751, ИНН 6452932433, КПП 645201001, с указанием «задаток для участия в открытых торгах по продаже имущества ООО «Михайловское»». Суммы внесенных заявителями задатков возвращаются всем заявителям, за исключением победителя торгов, в течение 5 (пяти) рабочих дней со дня подписания протокола о результатах проведения торгов.</w:t>
            </w:r>
          </w:p>
        </w:tc>
      </w:tr>
    </w:tbl>
    <w:p w:rsidR="008D4BB1"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p>
    <w:p w:rsidR="00E34B0E" w:rsidRDefault="00E34B0E" w:rsidP="003B4192">
      <w:pPr>
        <w:spacing w:line="240" w:lineRule="auto"/>
        <w:ind w:firstLine="708"/>
        <w:contextualSpacing/>
        <w:rPr>
          <w:rFonts w:cstheme="minorHAnsi"/>
          <w:sz w:val="24"/>
          <w:szCs w:val="24"/>
        </w:rPr>
      </w:pPr>
    </w:p>
    <w:p w:rsidR="00E34B0E" w:rsidRPr="00204B30" w:rsidRDefault="00E34B0E" w:rsidP="003B4192">
      <w:pPr>
        <w:spacing w:line="240" w:lineRule="auto"/>
        <w:ind w:firstLine="708"/>
        <w:contextualSpacing/>
        <w:rPr>
          <w:rFonts w:cstheme="minorHAnsi"/>
          <w:sz w:val="24"/>
          <w:szCs w:val="24"/>
        </w:rPr>
      </w:pPr>
      <w:bookmarkStart w:id="90" w:name="ПодтверждениеПодпись"/>
      <w:bookmarkEnd w:id="90"/>
    </w:p>
    <w:sectPr w:rsidR="00E34B0E" w:rsidRPr="00204B30"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E706E"/>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151D"/>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8F51D-174A-46AE-878F-8DDC44330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2382</Words>
  <Characters>13580</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15931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2016-04-20T09:18:00Z</dcterms:created>
  <dcterms:modified xsi:type="dcterms:W3CDTF">2016-04-20T09:18:00Z</dcterms:modified>
</cp:coreProperties>
</file>