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66EFC">
        <w:rPr>
          <w:b/>
          <w:sz w:val="24"/>
          <w:szCs w:val="24"/>
        </w:rPr>
        <w:t>АО0002522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66EF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66EFC">
        <w:rPr>
          <w:b/>
          <w:sz w:val="24"/>
          <w:szCs w:val="24"/>
        </w:rPr>
        <w:t>АО0002522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66E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66EF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66EFC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66E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Отчет о рыночной стоимости размещен на сайте ЕФРСБ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66EF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66E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66E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13.07.2015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66E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14.08.2015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66E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11.07.2015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66E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11.07.2015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66E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09.07.2015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Волгоградской области от 17.05.2013 г. по делу №A12-8817/2012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66EFC" w:rsidRDefault="00E66E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Незавершенный строительством нефтеналивной танкер Пр. RST22M Стр. 372 (процент технической готовности – 20,254%).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88020000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4401000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4401000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14.08.2015 г.</w:t>
            </w:r>
          </w:p>
        </w:tc>
      </w:tr>
      <w:tr w:rsidR="00E66EF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66EFC" w:rsidRDefault="00E66EFC" w:rsidP="00E66E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E66EF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66EFC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1145</Words>
  <Characters>6532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2015-08-21T12:04:00Z</dcterms:created>
  <dcterms:modified xsi:type="dcterms:W3CDTF">2015-08-21T12:04:00Z</dcterms:modified>
</cp:coreProperties>
</file>