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84D0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84D03">
        <w:rPr>
          <w:sz w:val="24"/>
          <w:szCs w:val="24"/>
        </w:rPr>
        <w:t>Лыженков Сергей Николаевич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84D0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84D03">
        <w:rPr>
          <w:sz w:val="24"/>
          <w:szCs w:val="24"/>
        </w:rPr>
        <w:t>АО0002520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84D0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84D03">
        <w:rPr>
          <w:sz w:val="24"/>
          <w:szCs w:val="24"/>
        </w:rPr>
        <w:t>Открытое акционерное общество «Волгоградский судостроительный завод»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84D0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84D03">
        <w:rPr>
          <w:sz w:val="24"/>
          <w:szCs w:val="24"/>
        </w:rPr>
        <w:t>АО0002520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0"/>
        <w:gridCol w:w="7822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84D0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84D0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84D03"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84D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84D0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84D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4D0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27.05.2015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4D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02.07.2015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84D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23.05.2015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84D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22.05.2015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84D0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22.05.2015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Некоммерческое партнерство «Саморегулируемая организация арбитражных управляющих «ЛИГА» </w:t>
            </w:r>
          </w:p>
        </w:tc>
      </w:tr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10398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№A12-8817/2012</w:t>
            </w:r>
          </w:p>
        </w:tc>
      </w:tr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Волгоградской области от 17.05.2013 г. по делу №A12-8817/2012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«Волгоградский судостроительный завод»</w:t>
            </w:r>
          </w:p>
        </w:tc>
      </w:tr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3448006530</w:t>
            </w:r>
          </w:p>
        </w:tc>
      </w:tr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1023404355270</w:t>
            </w:r>
          </w:p>
        </w:tc>
      </w:tr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- договором купли-продажи, который конкурсный управляющий заключает с победителем торгов. Конкурсный управляющий в течение пяти дней с даты подписания протокола о результатах проведения торгов направляет победителю торгов предложение заключить договор купли - продажи Имущества с приложением проекта данного договора в соответствии с представленным победителем торгов предложением о цене Имущества.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В этом случае конкурсный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Победитель торгов, заключивший договор купли-продажи, в течение тридцати дней со дня подписания договора купли-продажи, обязан перечислить денежные средства в счет оплаты приобретенного имущества (цена за вычетом внесенного задатка) на расчетный счет продавца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8-906-171-50-52</w:t>
            </w:r>
          </w:p>
        </w:tc>
      </w:tr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penza058@rambler.ru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84D03" w:rsidRDefault="00284D0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Незавершенный строительством нефтеналивной танкер</w:t>
            </w:r>
          </w:p>
        </w:tc>
      </w:tr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Незавершенный строительством нефтеналивной танкер Пр. RST22M Стр. 372 (процент технической готовности – 20,254%).</w:t>
            </w:r>
          </w:p>
        </w:tc>
      </w:tr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97800000</w:t>
            </w:r>
          </w:p>
        </w:tc>
      </w:tr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4890000</w:t>
            </w:r>
          </w:p>
        </w:tc>
      </w:tr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4890000</w:t>
            </w:r>
          </w:p>
        </w:tc>
      </w:tr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лицо, желающее принять в них участие, (далее - заявитель)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Задаток должен поступить на указанный расчетный счет не позднее 02.07.2015 г.</w:t>
            </w:r>
          </w:p>
        </w:tc>
      </w:tr>
      <w:tr w:rsidR="00284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84D03" w:rsidRDefault="00284D03" w:rsidP="00284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 для перечисления задатка: получатель - Открытое акционерное общество «Волгоградский судостроительный завод» (400112, г. Волгоград, ул. Арсеньева, 2), р/с 40702810611000090549 (Спец.б/сч.должника по возврату задатков) Отделение № 8621 Сбербанка России г. Волгоград, к/с 30101810100000000647, БИК 041806647, ИНН 3448006530, КПП 344801001.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84D03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A28A7-8AC7-4144-B6E3-8F5B4886B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1109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2015-05-25T11:28:00Z</dcterms:created>
  <dcterms:modified xsi:type="dcterms:W3CDTF">2015-05-25T11:28:00Z</dcterms:modified>
</cp:coreProperties>
</file>