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C37F7">
        <w:rPr>
          <w:b/>
          <w:sz w:val="24"/>
          <w:szCs w:val="24"/>
        </w:rPr>
        <w:t>АО0002418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C37F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C37F7">
        <w:rPr>
          <w:b/>
          <w:sz w:val="24"/>
          <w:szCs w:val="24"/>
        </w:rPr>
        <w:t>АО0002418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C37F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C37F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C37F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C37F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C37F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C37F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C37F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C37F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C37F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C37F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C37F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C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C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C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C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C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C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C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C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C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C37F7" w:rsidRDefault="00EC37F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2396</w:t>
            </w:r>
          </w:p>
        </w:tc>
      </w:tr>
      <w:tr w:rsidR="00EC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C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Стакан-непроливайка, СН-1                                                                           </w:t>
            </w:r>
          </w:p>
        </w:tc>
      </w:tr>
      <w:tr w:rsidR="00EC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C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C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C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C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C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C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C37F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C37F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C37F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C37F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EC37F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C37F7" w:rsidRDefault="00EC37F7" w:rsidP="00EC3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C37F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C37F7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2015-04-07T18:01:00Z</dcterms:created>
  <dcterms:modified xsi:type="dcterms:W3CDTF">2015-04-07T18:01:00Z</dcterms:modified>
</cp:coreProperties>
</file>