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C2B24">
        <w:rPr>
          <w:b/>
          <w:sz w:val="24"/>
          <w:szCs w:val="24"/>
        </w:rPr>
        <w:t>АО0002264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C2B2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C2B24">
        <w:rPr>
          <w:b/>
          <w:sz w:val="24"/>
          <w:szCs w:val="24"/>
        </w:rPr>
        <w:t>АО0002264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C2B2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C2B2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C2B2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C2B2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C2B2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C2B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C2B2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C2B2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C2B2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C2B2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C2B2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C2B24" w:rsidRDefault="008C2B2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2242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12 цв., черное дерево, металлик               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C2B2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C2B2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C2B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 руб.</w:t>
            </w:r>
          </w:p>
        </w:tc>
      </w:tr>
      <w:tr w:rsidR="008C2B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C2B24" w:rsidRDefault="008C2B24" w:rsidP="008C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C2B2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2B24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