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74076E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74076E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74076E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74076E">
        <w:rPr>
          <w:sz w:val="24"/>
          <w:szCs w:val="24"/>
        </w:rPr>
        <w:t>АО0002201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74076E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74076E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74076E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74076E">
        <w:rPr>
          <w:sz w:val="24"/>
          <w:szCs w:val="24"/>
        </w:rPr>
        <w:t>АО0002201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74076E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74076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74076E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7407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74076E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74076E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076E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7407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7407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74076E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74076E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lastRenderedPageBreak/>
              <w:t>Тип должника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74076E" w:rsidRDefault="0074076E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2179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 xml:space="preserve">Карандаш ч/гр KOH-I-NOOR 1500 3B                                                                    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15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0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74076E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74076E" w:rsidRDefault="0074076E" w:rsidP="0074076E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076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7986A4F-5BBF-4669-8033-663327FBA2F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2015-04-07T17:07:00Z</dcterms:created>
  <dcterms:modified xsi:type="dcterms:W3CDTF">2015-04-07T17:07:00Z</dcterms:modified>
</cp:coreProperties>
</file>