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0133A">
        <w:rPr>
          <w:b/>
          <w:sz w:val="24"/>
          <w:szCs w:val="24"/>
        </w:rPr>
        <w:t>АО0002056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013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0133A">
        <w:rPr>
          <w:b/>
          <w:sz w:val="24"/>
          <w:szCs w:val="24"/>
        </w:rPr>
        <w:t>АО0002056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013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013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013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013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013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013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013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013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013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013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013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0133A" w:rsidRDefault="006013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2034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 STAEDTLER (Штедлер,Германия) "Textsurfer classic",скошен.наконеч,1-</w:t>
            </w:r>
            <w:r>
              <w:rPr>
                <w:sz w:val="24"/>
                <w:szCs w:val="24"/>
              </w:rPr>
              <w:lastRenderedPageBreak/>
              <w:t xml:space="preserve">5мм,флюор.желт,364-1 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013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013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013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6013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0133A" w:rsidRDefault="0060133A" w:rsidP="00601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013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0133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