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67A7">
        <w:rPr>
          <w:b/>
          <w:sz w:val="24"/>
          <w:szCs w:val="24"/>
        </w:rPr>
        <w:t>AЗ0009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67A7">
        <w:rPr>
          <w:b/>
          <w:sz w:val="24"/>
          <w:szCs w:val="24"/>
        </w:rPr>
        <w:t>закрытом аукционе</w:t>
      </w:r>
      <w:r w:rsidR="002302D6" w:rsidRPr="004C67A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67A7">
        <w:rPr>
          <w:b/>
          <w:sz w:val="24"/>
          <w:szCs w:val="24"/>
        </w:rPr>
        <w:t>AЗ0009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67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67A7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67A7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4C67A7" w:rsidRDefault="004C67A7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C67A7">
              <w:rPr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4C67A7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eurtp</w:t>
            </w:r>
            <w:r w:rsidRPr="004C67A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67A7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67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67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20.01.2014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67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23.02.2014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67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18.01.2014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67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15.01.2014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67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15.01.2014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 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6843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</w:t>
            </w:r>
            <w:r>
              <w:rPr>
                <w:sz w:val="24"/>
                <w:szCs w:val="24"/>
              </w:rPr>
              <w:lastRenderedPageBreak/>
              <w:t>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67A7" w:rsidRDefault="004C67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20.01.14 г. круглосуточно в течение семи дней в неделю до 17 час. 00 мин. московского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кв.43, кадастровый номер 64-64-01/196/2006-419. Существующие ограничения (обременения) Лота №1 и Лота №2- ипотека (договор об ипотеке №б/н от 16.03.11 г.). Залогодержатель Саратовское ОСБ №8622 СБ РФ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6731100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404000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  <w:tr w:rsidR="004C67A7">
        <w:tc>
          <w:tcPr>
            <w:tcW w:w="4785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67A7" w:rsidRDefault="004C67A7" w:rsidP="004C67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67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C67A7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6167D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24.02.2014 17:35:56.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C67A7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167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2014-02-24T13:35:00Z</dcterms:created>
  <dcterms:modified xsi:type="dcterms:W3CDTF">2014-02-24T13:35:00Z</dcterms:modified>
</cp:coreProperties>
</file>