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Текстовый блок A"/>
        <w:jc w:val="center"/>
      </w:pPr>
      <w:r>
        <w:rPr>
          <w:rtl w:val="0"/>
          <w:lang w:val="ru-RU"/>
        </w:rPr>
        <w:t>Протокол о результатах проведения открытых торгов с закрытой формой подачи предложения о цене № АЗ</w:t>
      </w:r>
      <w:r>
        <w:rPr>
          <w:rtl w:val="0"/>
          <w:lang w:val="ru-RU"/>
        </w:rPr>
        <w:t>00029.</w:t>
      </w:r>
    </w:p>
    <w:p>
      <w:pPr>
        <w:pStyle w:val="List Paragraph"/>
        <w:numPr>
          <w:ilvl w:val="0"/>
          <w:numId w:val="3"/>
        </w:numPr>
        <w:ind w:left="1314"/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 w:color="000000"/>
          <w:vertAlign w:val="baseline"/>
          <w:rtl w:val="0"/>
          <w:lang w:val="ru-RU"/>
        </w:rPr>
      </w:pPr>
      <w:r>
        <w:rPr>
          <w:rFonts w:ascii="Arial Unicode MS" w:cs="Arial Unicode MS" w:hAnsi="Arial Unicode MS" w:eastAsia="Arial Unicode MS" w:hint="default"/>
          <w:rtl w:val="0"/>
        </w:rPr>
        <w:t>Информация об открытых торгах с закрытой формой подачи предложения о цене № АЗ</w:t>
      </w:r>
      <w:r>
        <w:rPr>
          <w:rFonts w:ascii="Arial Unicode MS" w:cs="Arial Unicode MS" w:hAnsi="Arial Unicode MS" w:eastAsia="Arial Unicode MS"/>
          <w:rtl w:val="0"/>
        </w:rPr>
        <w:t>00029.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376"/>
        <w:gridCol w:w="7195"/>
      </w:tblGrid>
      <w:tr>
        <w:tblPrEx>
          <w:shd w:val="clear" w:color="auto" w:fill="auto"/>
        </w:tblPrEx>
        <w:trPr>
          <w:trHeight w:val="34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auto"/>
        </w:tblPrEx>
        <w:trPr>
          <w:trHeight w:val="130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Закрытая</w:t>
            </w:r>
          </w:p>
        </w:tc>
      </w:tr>
      <w:tr>
        <w:tblPrEx>
          <w:shd w:val="clear" w:color="auto" w:fill="auto"/>
        </w:tblPrEx>
        <w:trPr>
          <w:trHeight w:val="100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</w:pPr>
            <w:r>
              <w:rPr>
                <w:rFonts w:ascii="Arial Unicode MS" w:cs="Arial Unicode MS" w:hAnsi="Arial Unicode MS" w:eastAsia="Arial Unicode MS" w:hint="default"/>
                <w:rtl w:val="0"/>
              </w:rPr>
              <w:t>Открытые торги по реализации имущества ООО «Заречье</w:t>
            </w:r>
            <w:r>
              <w:rPr>
                <w:rFonts w:ascii="Arial Unicode MS" w:cs="Arial Unicode MS" w:hAnsi="Arial Unicode MS" w:eastAsia="Arial Unicode MS"/>
                <w:rtl w:val="0"/>
              </w:rPr>
              <w:t>-2</w:t>
            </w:r>
            <w:r>
              <w:rPr>
                <w:rFonts w:ascii="Arial Unicode MS" w:cs="Arial Unicode MS" w:hAnsi="Arial Unicode MS" w:eastAsia="Arial Unicode MS" w:hint="default"/>
                <w:rtl w:val="0"/>
              </w:rPr>
              <w:t xml:space="preserve">» </w:t>
            </w:r>
            <w:r>
              <w:rPr>
                <w:rFonts w:ascii="Arial Unicode MS" w:cs="Arial Unicode MS" w:hAnsi="Arial Unicode MS" w:eastAsia="Arial Unicode MS"/>
                <w:rtl w:val="0"/>
              </w:rPr>
              <w:t>(</w:t>
            </w:r>
            <w:r>
              <w:rPr>
                <w:rFonts w:ascii="Arial Unicode MS" w:cs="Arial Unicode MS" w:hAnsi="Arial Unicode MS" w:eastAsia="Arial Unicode MS" w:hint="default"/>
                <w:rtl w:val="0"/>
              </w:rPr>
              <w:t>ИНН</w:t>
            </w:r>
            <w:r>
              <w:rPr>
                <w:rFonts w:ascii="Arial Unicode MS" w:cs="Arial Unicode MS" w:hAnsi="Arial Unicode MS" w:eastAsia="Arial Unicode MS"/>
                <w:rtl w:val="0"/>
              </w:rPr>
              <w:t>/</w:t>
            </w:r>
            <w:r>
              <w:rPr>
                <w:rFonts w:ascii="Arial Unicode MS" w:cs="Arial Unicode MS" w:hAnsi="Arial Unicode MS" w:eastAsia="Arial Unicode MS" w:hint="default"/>
                <w:rtl w:val="0"/>
              </w:rPr>
              <w:t>ОГРН</w:t>
            </w:r>
            <w:r>
              <w:rPr>
                <w:rFonts w:ascii="Arial Unicode MS" w:cs="Arial Unicode MS" w:hAnsi="Arial Unicode MS" w:eastAsia="Arial Unicode MS"/>
                <w:rtl w:val="0"/>
              </w:rPr>
              <w:t>:</w:t>
              <w:tab/>
              <w:t xml:space="preserve">6375004727/1026303781294) </w:t>
            </w:r>
            <w:r>
              <w:rPr>
                <w:rFonts w:ascii="Arial Unicode MS" w:cs="Arial Unicode MS" w:hAnsi="Arial Unicode MS" w:eastAsia="Arial Unicode MS" w:hint="default"/>
                <w:rtl w:val="0"/>
              </w:rPr>
              <w:t>с закрытой формой представления предложений о цене</w:t>
            </w:r>
          </w:p>
        </w:tc>
      </w:tr>
      <w:tr>
        <w:tblPrEx>
          <w:shd w:val="clear" w:color="auto" w:fill="auto"/>
        </w:tblPrEx>
        <w:trPr>
          <w:trHeight w:val="1033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</w:pPr>
            <w:r>
              <w:rPr>
                <w:rFonts w:ascii="Arial Unicode MS" w:cs="Arial Unicode MS" w:hAnsi="Arial Unicode MS" w:eastAsia="Arial Unicode MS" w:hint="default"/>
                <w:rtl w:val="0"/>
              </w:rPr>
              <w:t>Открытые торги по реализации имущества ООО «Заречье</w:t>
            </w:r>
            <w:r>
              <w:rPr>
                <w:rFonts w:ascii="Arial Unicode MS" w:cs="Arial Unicode MS" w:hAnsi="Arial Unicode MS" w:eastAsia="Arial Unicode MS"/>
                <w:rtl w:val="0"/>
              </w:rPr>
              <w:t>-2</w:t>
            </w:r>
            <w:r>
              <w:rPr>
                <w:rFonts w:ascii="Arial Unicode MS" w:cs="Arial Unicode MS" w:hAnsi="Arial Unicode MS" w:eastAsia="Arial Unicode MS" w:hint="default"/>
                <w:rtl w:val="0"/>
              </w:rPr>
              <w:t xml:space="preserve">» </w:t>
            </w:r>
            <w:r>
              <w:rPr>
                <w:rFonts w:ascii="Arial Unicode MS" w:cs="Arial Unicode MS" w:hAnsi="Arial Unicode MS" w:eastAsia="Arial Unicode MS"/>
                <w:rtl w:val="0"/>
              </w:rPr>
              <w:t>(</w:t>
            </w:r>
            <w:r>
              <w:rPr>
                <w:rFonts w:ascii="Arial Unicode MS" w:cs="Arial Unicode MS" w:hAnsi="Arial Unicode MS" w:eastAsia="Arial Unicode MS" w:hint="default"/>
                <w:rtl w:val="0"/>
              </w:rPr>
              <w:t>ИНН</w:t>
            </w:r>
            <w:r>
              <w:rPr>
                <w:rFonts w:ascii="Arial Unicode MS" w:cs="Arial Unicode MS" w:hAnsi="Arial Unicode MS" w:eastAsia="Arial Unicode MS"/>
                <w:rtl w:val="0"/>
              </w:rPr>
              <w:t>/</w:t>
            </w:r>
            <w:r>
              <w:rPr>
                <w:rFonts w:ascii="Arial Unicode MS" w:cs="Arial Unicode MS" w:hAnsi="Arial Unicode MS" w:eastAsia="Arial Unicode MS" w:hint="default"/>
                <w:rtl w:val="0"/>
              </w:rPr>
              <w:t>ОГРН</w:t>
            </w:r>
            <w:r>
              <w:rPr>
                <w:rFonts w:ascii="Arial Unicode MS" w:cs="Arial Unicode MS" w:hAnsi="Arial Unicode MS" w:eastAsia="Arial Unicode MS"/>
                <w:rtl w:val="0"/>
              </w:rPr>
              <w:t xml:space="preserve">: 6375004727/1026303781294) </w:t>
            </w:r>
            <w:r>
              <w:rPr>
                <w:rFonts w:ascii="Arial Unicode MS" w:cs="Arial Unicode MS" w:hAnsi="Arial Unicode MS" w:eastAsia="Arial Unicode MS" w:hint="default"/>
                <w:rtl w:val="0"/>
              </w:rPr>
              <w:t>с закрытой формой представления предложений о цене</w:t>
            </w:r>
            <w:r>
              <w:rPr>
                <w:rFonts w:ascii="Arial Unicode MS" w:cs="Arial Unicode MS" w:hAnsi="Arial Unicode MS" w:eastAsia="Arial Unicode MS"/>
                <w:rtl w:val="0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673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Победителем электронных торгов по продаже имущества должника посредством закрытого аукциона признается участник открытых торгов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который предложил наибольшую цену за выставленное организатором торгов имущество должника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30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[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hyperlink r:id="rId4" w:history="1">
              <w:r>
                <w:rPr>
                  <w:rStyle w:val="Hyperlink.0"/>
                  <w:rFonts w:ascii="Calibri"/>
                  <w:caps w:val="0"/>
                  <w:smallCaps w:val="0"/>
                  <w:strike w:val="0"/>
                  <w:dstrike w:val="0"/>
                  <w:outline w:val="0"/>
                  <w:color w:val="000000"/>
                  <w:spacing w:val="0"/>
                  <w:kern w:val="0"/>
                  <w:position w:val="0"/>
                  <w:sz w:val="24"/>
                  <w:szCs w:val="24"/>
                  <w:u w:val="single" w:color="000000"/>
                  <w:vertAlign w:val="baseline"/>
                  <w:rtl w:val="0"/>
                  <w:lang w:val="de-DE"/>
                </w:rPr>
                <w:t>http://eurtp.ru/</w:t>
              </w:r>
            </w:hyperlink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]</w:t>
            </w:r>
          </w:p>
        </w:tc>
      </w:tr>
      <w:tr>
        <w:tblPrEx>
          <w:shd w:val="clear" w:color="auto" w:fill="auto"/>
        </w:tblPrEx>
        <w:trPr>
          <w:trHeight w:val="98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03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.07.2017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8:00</w:t>
            </w:r>
          </w:p>
        </w:tc>
      </w:tr>
      <w:tr>
        <w:tblPrEx>
          <w:shd w:val="clear" w:color="auto" w:fill="auto"/>
        </w:tblPrEx>
        <w:trPr>
          <w:trHeight w:val="98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08.08.2017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17:00</w:t>
            </w:r>
          </w:p>
        </w:tc>
      </w:tr>
      <w:tr>
        <w:tblPrEx>
          <w:shd w:val="clear" w:color="auto" w:fill="auto"/>
        </w:tblPrEx>
        <w:trPr>
          <w:trHeight w:val="194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01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.07.2017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года</w:t>
            </w:r>
          </w:p>
        </w:tc>
      </w:tr>
      <w:tr>
        <w:tblPrEx>
          <w:shd w:val="clear" w:color="auto" w:fill="auto"/>
        </w:tblPrEx>
        <w:trPr>
          <w:trHeight w:val="162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29.06.2017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года</w:t>
            </w:r>
          </w:p>
        </w:tc>
      </w:tr>
      <w:tr>
        <w:tblPrEx>
          <w:shd w:val="clear" w:color="auto" w:fill="auto"/>
        </w:tblPrEx>
        <w:trPr>
          <w:trHeight w:val="194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.06.2017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года</w:t>
            </w:r>
          </w:p>
        </w:tc>
      </w:tr>
    </w:tbl>
    <w:p>
      <w:pPr>
        <w:pStyle w:val="List Paragraph"/>
        <w:widowControl w:val="0"/>
        <w:numPr>
          <w:ilvl w:val="0"/>
          <w:numId w:val="4"/>
        </w:numPr>
        <w:tabs>
          <w:tab w:val="num" w:pos="594"/>
          <w:tab w:val="left" w:pos="638"/>
          <w:tab w:val="left" w:pos="663"/>
          <w:tab w:val="left" w:pos="690"/>
          <w:tab w:val="clear" w:pos="615"/>
        </w:tabs>
        <w:spacing w:line="240" w:lineRule="auto"/>
        <w:ind w:left="594" w:hanging="234"/>
        <w:rPr>
          <w:position w:val="0"/>
          <w:sz w:val="24"/>
          <w:szCs w:val="24"/>
          <w:shd w:val="clear" w:color="auto" w:fill="ffff00"/>
        </w:rPr>
      </w:pPr>
    </w:p>
    <w:p>
      <w:pPr>
        <w:pStyle w:val="List Paragraph"/>
        <w:widowControl w:val="0"/>
        <w:numPr>
          <w:ilvl w:val="0"/>
          <w:numId w:val="7"/>
        </w:numPr>
        <w:tabs>
          <w:tab w:val="left" w:pos="690"/>
        </w:tabs>
        <w:spacing w:line="240" w:lineRule="auto"/>
        <w:ind w:left="663" w:hanging="303"/>
        <w:rPr>
          <w:position w:val="0"/>
          <w:sz w:val="24"/>
          <w:szCs w:val="24"/>
        </w:rPr>
      </w:pPr>
    </w:p>
    <w:p>
      <w:pPr>
        <w:pStyle w:val="List Paragraph"/>
        <w:widowControl w:val="0"/>
        <w:tabs>
          <w:tab w:val="left" w:pos="690"/>
        </w:tabs>
        <w:spacing w:line="240" w:lineRule="auto"/>
        <w:ind w:left="0" w:firstLine="0"/>
        <w:rPr>
          <w:sz w:val="24"/>
          <w:szCs w:val="24"/>
        </w:rPr>
      </w:pPr>
    </w:p>
    <w:p>
      <w:pPr>
        <w:pStyle w:val="List Paragraph"/>
        <w:spacing w:line="240" w:lineRule="auto"/>
        <w:ind w:left="1068" w:firstLine="0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10"/>
        </w:numPr>
        <w:tabs>
          <w:tab w:val="num" w:pos="638"/>
          <w:tab w:val="left" w:pos="663"/>
          <w:tab w:val="left" w:pos="690"/>
        </w:tabs>
        <w:spacing w:line="240" w:lineRule="auto"/>
        <w:ind w:left="638" w:hanging="278"/>
        <w:rPr>
          <w:position w:val="0"/>
          <w:sz w:val="24"/>
          <w:szCs w:val="24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Организатор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торгов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1013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Полное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Центр экономики и права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ООО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ЦЭП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6452932433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КПП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645201001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1076450011197</w:t>
            </w:r>
          </w:p>
        </w:tc>
      </w:tr>
      <w:tr>
        <w:tblPrEx>
          <w:shd w:val="clear" w:color="auto" w:fill="auto"/>
        </w:tblPrEx>
        <w:trPr>
          <w:trHeight w:val="693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Юридический адрес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410005,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Саратовская область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Разина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., 78</w:t>
            </w:r>
          </w:p>
        </w:tc>
      </w:tr>
    </w:tbl>
    <w:p>
      <w:pPr>
        <w:pStyle w:val="List Paragraph"/>
        <w:widowControl w:val="0"/>
        <w:numPr>
          <w:ilvl w:val="0"/>
          <w:numId w:val="11"/>
        </w:numPr>
        <w:tabs>
          <w:tab w:val="num" w:pos="638"/>
          <w:tab w:val="left" w:pos="663"/>
          <w:tab w:val="left" w:pos="690"/>
        </w:tabs>
        <w:spacing w:line="240" w:lineRule="auto"/>
        <w:ind w:left="638" w:hanging="278"/>
        <w:rPr>
          <w:position w:val="0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14"/>
        </w:numPr>
        <w:tabs>
          <w:tab w:val="left" w:pos="690"/>
        </w:tabs>
        <w:spacing w:line="240" w:lineRule="auto"/>
        <w:ind w:left="663" w:hanging="303"/>
        <w:rPr>
          <w:position w:val="0"/>
          <w:sz w:val="24"/>
          <w:szCs w:val="24"/>
        </w:rPr>
      </w:pPr>
    </w:p>
    <w:p>
      <w:pPr>
        <w:pStyle w:val="List Paragraph"/>
        <w:widowControl w:val="0"/>
        <w:tabs>
          <w:tab w:val="left" w:pos="690"/>
        </w:tabs>
        <w:spacing w:line="240" w:lineRule="auto"/>
        <w:ind w:left="0" w:firstLine="0"/>
        <w:rPr>
          <w:sz w:val="24"/>
          <w:szCs w:val="24"/>
        </w:rPr>
      </w:pPr>
    </w:p>
    <w:p>
      <w:pPr>
        <w:pStyle w:val="Текстовый блок B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17"/>
        </w:numPr>
        <w:tabs>
          <w:tab w:val="num" w:pos="638"/>
          <w:tab w:val="left" w:pos="663"/>
          <w:tab w:val="left" w:pos="690"/>
        </w:tabs>
        <w:spacing w:line="240" w:lineRule="auto"/>
        <w:ind w:left="638" w:hanging="278"/>
        <w:rPr>
          <w:position w:val="0"/>
          <w:sz w:val="24"/>
          <w:szCs w:val="24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Арбитражный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управляющий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Беспалов Алексей Павлович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632500231887</w:t>
            </w:r>
          </w:p>
        </w:tc>
      </w:tr>
      <w:tr>
        <w:tblPrEx>
          <w:shd w:val="clear" w:color="auto" w:fill="auto"/>
        </w:tblPrEx>
        <w:trPr>
          <w:trHeight w:val="1653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СРО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САМРО «Ассоциация антикризисных управляющих»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Саморегулируемая межрегиональная общественная организация «Ассоциация антикризисных управляющих»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Регистрационный номер ФРС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516</w:t>
            </w:r>
          </w:p>
        </w:tc>
      </w:tr>
    </w:tbl>
    <w:p>
      <w:pPr>
        <w:pStyle w:val="List Paragraph"/>
        <w:widowControl w:val="0"/>
        <w:numPr>
          <w:ilvl w:val="0"/>
          <w:numId w:val="18"/>
        </w:numPr>
        <w:tabs>
          <w:tab w:val="num" w:pos="638"/>
          <w:tab w:val="left" w:pos="663"/>
          <w:tab w:val="left" w:pos="690"/>
        </w:tabs>
        <w:spacing w:line="240" w:lineRule="auto"/>
        <w:ind w:left="638" w:hanging="278"/>
        <w:rPr>
          <w:position w:val="0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21"/>
        </w:numPr>
        <w:tabs>
          <w:tab w:val="left" w:pos="690"/>
        </w:tabs>
        <w:spacing w:line="240" w:lineRule="auto"/>
        <w:ind w:left="663" w:hanging="303"/>
        <w:rPr>
          <w:position w:val="0"/>
          <w:sz w:val="24"/>
          <w:szCs w:val="24"/>
        </w:rPr>
      </w:pPr>
    </w:p>
    <w:p>
      <w:pPr>
        <w:pStyle w:val="List Paragraph"/>
        <w:widowControl w:val="0"/>
        <w:tabs>
          <w:tab w:val="left" w:pos="690"/>
        </w:tabs>
        <w:spacing w:line="240" w:lineRule="auto"/>
        <w:ind w:left="0" w:firstLine="0"/>
        <w:rPr>
          <w:sz w:val="24"/>
          <w:szCs w:val="24"/>
        </w:rPr>
      </w:pPr>
    </w:p>
    <w:p>
      <w:pPr>
        <w:pStyle w:val="Текстовый блок B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24"/>
        </w:numPr>
        <w:tabs>
          <w:tab w:val="num" w:pos="638"/>
          <w:tab w:val="left" w:pos="663"/>
          <w:tab w:val="left" w:pos="690"/>
        </w:tabs>
        <w:spacing w:line="240" w:lineRule="auto"/>
        <w:ind w:left="638" w:hanging="278"/>
        <w:rPr>
          <w:position w:val="0"/>
          <w:sz w:val="24"/>
          <w:szCs w:val="24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Сведения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о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судебном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деле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Арбитражный суд Самарской области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55-1818/2014</w:t>
            </w:r>
          </w:p>
        </w:tc>
      </w:tr>
      <w:tr>
        <w:tblPrEx>
          <w:shd w:val="clear" w:color="auto" w:fill="auto"/>
        </w:tblPrEx>
        <w:trPr>
          <w:trHeight w:val="1013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Решение Арбитражного суда Самарской области 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24.11.2014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 делу №А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55-1818/2014</w:t>
            </w:r>
          </w:p>
        </w:tc>
      </w:tr>
    </w:tbl>
    <w:p>
      <w:pPr>
        <w:pStyle w:val="List Paragraph"/>
        <w:widowControl w:val="0"/>
        <w:numPr>
          <w:ilvl w:val="0"/>
          <w:numId w:val="25"/>
        </w:numPr>
        <w:tabs>
          <w:tab w:val="num" w:pos="638"/>
          <w:tab w:val="left" w:pos="663"/>
          <w:tab w:val="left" w:pos="690"/>
        </w:tabs>
        <w:spacing w:line="240" w:lineRule="auto"/>
        <w:ind w:left="638" w:hanging="278"/>
        <w:rPr>
          <w:position w:val="0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28"/>
        </w:numPr>
        <w:tabs>
          <w:tab w:val="left" w:pos="690"/>
        </w:tabs>
        <w:spacing w:line="240" w:lineRule="auto"/>
        <w:ind w:left="663" w:hanging="303"/>
        <w:rPr>
          <w:position w:val="0"/>
          <w:sz w:val="24"/>
          <w:szCs w:val="24"/>
        </w:rPr>
      </w:pPr>
    </w:p>
    <w:p>
      <w:pPr>
        <w:pStyle w:val="List Paragraph"/>
        <w:widowControl w:val="0"/>
        <w:tabs>
          <w:tab w:val="left" w:pos="690"/>
        </w:tabs>
        <w:spacing w:line="240" w:lineRule="auto"/>
        <w:ind w:left="0" w:firstLine="0"/>
        <w:rPr>
          <w:sz w:val="24"/>
          <w:szCs w:val="24"/>
        </w:rPr>
      </w:pPr>
    </w:p>
    <w:p>
      <w:pPr>
        <w:pStyle w:val="Текстовый блок B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31"/>
        </w:numPr>
        <w:tabs>
          <w:tab w:val="num" w:pos="638"/>
          <w:tab w:val="left" w:pos="663"/>
          <w:tab w:val="left" w:pos="690"/>
        </w:tabs>
        <w:spacing w:line="240" w:lineRule="auto"/>
        <w:ind w:left="638" w:hanging="278"/>
        <w:rPr>
          <w:position w:val="0"/>
          <w:sz w:val="24"/>
          <w:szCs w:val="24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Информация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о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должнике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Тип должника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Юридическое лицо</w:t>
            </w:r>
          </w:p>
        </w:tc>
      </w:tr>
      <w:tr>
        <w:tblPrEx>
          <w:shd w:val="clear" w:color="auto" w:fill="auto"/>
        </w:tblPrEx>
        <w:trPr>
          <w:trHeight w:val="64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Полное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Заречье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ООО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Заречье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6375004727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1026303781294</w:t>
            </w:r>
          </w:p>
        </w:tc>
      </w:tr>
      <w:tr>
        <w:tblPrEx>
          <w:shd w:val="clear" w:color="auto" w:fill="auto"/>
        </w:tblPrEx>
        <w:trPr>
          <w:trHeight w:val="4959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 с приложением проекта договора в соответствии с представленным победителем торгов предложением о цене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случае отказа или уклонения победителя торгов от подписания о договора в течение пяти календарных дней с даты получения указанного предложения конкурсного управляющего внесенный задаток ему не возвращается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</w:p>
        </w:tc>
      </w:tr>
    </w:tbl>
    <w:p>
      <w:pPr>
        <w:pStyle w:val="List Paragraph"/>
        <w:widowControl w:val="0"/>
        <w:numPr>
          <w:ilvl w:val="0"/>
          <w:numId w:val="32"/>
        </w:numPr>
        <w:tabs>
          <w:tab w:val="num" w:pos="638"/>
          <w:tab w:val="left" w:pos="663"/>
          <w:tab w:val="left" w:pos="690"/>
        </w:tabs>
        <w:spacing w:line="240" w:lineRule="auto"/>
        <w:ind w:left="638" w:hanging="278"/>
        <w:rPr>
          <w:position w:val="0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35"/>
        </w:numPr>
        <w:tabs>
          <w:tab w:val="left" w:pos="690"/>
        </w:tabs>
        <w:spacing w:line="240" w:lineRule="auto"/>
        <w:ind w:left="663" w:hanging="303"/>
        <w:rPr>
          <w:position w:val="0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38"/>
        </w:numPr>
        <w:spacing w:line="240" w:lineRule="auto"/>
        <w:ind w:left="690" w:hanging="330"/>
        <w:rPr>
          <w:position w:val="0"/>
          <w:sz w:val="24"/>
          <w:szCs w:val="24"/>
        </w:rPr>
      </w:pPr>
    </w:p>
    <w:p>
      <w:pPr>
        <w:pStyle w:val="Текстовый блок B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41"/>
        </w:numPr>
        <w:tabs>
          <w:tab w:val="num" w:pos="638"/>
          <w:tab w:val="left" w:pos="663"/>
          <w:tab w:val="left" w:pos="690"/>
        </w:tabs>
        <w:spacing w:line="240" w:lineRule="auto"/>
        <w:ind w:left="638" w:hanging="278"/>
        <w:rPr>
          <w:position w:val="0"/>
          <w:sz w:val="24"/>
          <w:szCs w:val="24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Контактное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лицо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ООО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ЦЭП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8-800-550-96-60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</w:pPr>
            <w:hyperlink r:id="rId5" w:history="1">
              <w:r>
                <w:rPr>
                  <w:rStyle w:val="Hyperlink.1"/>
                  <w:rFonts w:ascii="Arial Unicode MS" w:cs="Arial Unicode MS" w:hAnsi="Arial Unicode MS" w:eastAsia="Arial Unicode MS"/>
                  <w:rtl w:val="0"/>
                </w:rPr>
                <w:t>mail@tsep.me</w:t>
              </w:r>
            </w:hyperlink>
          </w:p>
        </w:tc>
      </w:tr>
    </w:tbl>
    <w:p>
      <w:pPr>
        <w:pStyle w:val="List Paragraph"/>
        <w:widowControl w:val="0"/>
        <w:numPr>
          <w:ilvl w:val="0"/>
          <w:numId w:val="42"/>
        </w:numPr>
        <w:tabs>
          <w:tab w:val="num" w:pos="638"/>
          <w:tab w:val="left" w:pos="663"/>
          <w:tab w:val="left" w:pos="690"/>
        </w:tabs>
        <w:spacing w:line="240" w:lineRule="auto"/>
        <w:ind w:left="638" w:hanging="278"/>
        <w:rPr>
          <w:position w:val="0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45"/>
        </w:numPr>
        <w:tabs>
          <w:tab w:val="left" w:pos="690"/>
        </w:tabs>
        <w:spacing w:line="240" w:lineRule="auto"/>
        <w:ind w:left="663" w:hanging="303"/>
        <w:rPr>
          <w:position w:val="0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48"/>
        </w:numPr>
        <w:spacing w:line="240" w:lineRule="auto"/>
        <w:ind w:left="690" w:hanging="330"/>
        <w:rPr>
          <w:position w:val="0"/>
          <w:sz w:val="24"/>
          <w:szCs w:val="24"/>
        </w:rPr>
      </w:pPr>
    </w:p>
    <w:p>
      <w:pPr>
        <w:pStyle w:val="Текстовый блок B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51"/>
        </w:numPr>
        <w:tabs>
          <w:tab w:val="num" w:pos="638"/>
          <w:tab w:val="left" w:pos="663"/>
          <w:tab w:val="left" w:pos="690"/>
        </w:tabs>
        <w:spacing w:line="240" w:lineRule="auto"/>
        <w:ind w:left="638" w:hanging="278"/>
        <w:rPr>
          <w:position w:val="0"/>
          <w:sz w:val="24"/>
          <w:szCs w:val="24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Текстовый блок B"/>
        <w:widowControl w:val="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rFonts w:ascii="Calibri"/>
          <w:sz w:val="24"/>
          <w:szCs w:val="24"/>
          <w:rtl w:val="0"/>
          <w:lang w:val="ru-RU"/>
        </w:rPr>
        <w:t xml:space="preserve">1. </w:t>
      </w:r>
    </w:p>
    <w:tbl>
      <w:tblPr>
        <w:tblW w:w="931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637"/>
        <w:gridCol w:w="4675"/>
      </w:tblGrid>
      <w:tr>
        <w:tblPrEx>
          <w:shd w:val="clear" w:color="auto" w:fill="auto"/>
        </w:tblPrEx>
        <w:trPr>
          <w:trHeight w:val="347" w:hRule="atLeast"/>
        </w:trPr>
        <w:tc>
          <w:tcPr>
            <w:tcW w:type="dxa" w:w="46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4116" w:hRule="atLeast"/>
        </w:trPr>
        <w:tc>
          <w:tcPr>
            <w:tcW w:type="dxa" w:w="46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оформления участия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Заявка на участие в торгах оформляется в форме электронного сообщения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 должна содержать сведения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соответствующие требованиям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установленным статьями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110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139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Закона о несостоятельности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банкротстве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и приказом Министерства экономического развития РФ 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495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23.07.2015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auto"/>
        </w:tblPrEx>
        <w:trPr>
          <w:trHeight w:val="14412" w:hRule="atLeast"/>
        </w:trPr>
        <w:tc>
          <w:tcPr>
            <w:tcW w:type="dxa" w:w="46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Сведения об имуществе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его составе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характеристиках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описание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Недвижимое имущество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Нежилое здание семенного склада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2458,7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63:25:06060022:55;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Нежилое здание фуражного склада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450,2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63:25:0606002:45;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Нежилое здание плотницкого цеха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90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63:25:0606002:48;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Нежилое здание ЗАВ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-40,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88,1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63:25:0606002:36;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Нежилое здание строительных материалов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556,8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63:25:0601011:75;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Нежилое здание зерносклада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3996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63:25:0601011:68;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Нежилое здание автозаправочной станции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114,2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63:25:0606002:43;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Жилой дом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трехкомнатная квартира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76,6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63:25:0602003:969;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Здание зерносклада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871,6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63:25:0000000:1473;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Здание продовольственного склада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76,7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63:25:0606002:61;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Здание зерносклада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1222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63:25:0000000:1424;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Гидротехническое сооружение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Пруд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Новый байкал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" 6000000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., 63:25:0000000:1958;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63:25:0601016:0020,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3805,34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63:25:0601016:0016,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633,59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63:25:0601016:0017,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169,87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63:25:0601016:0027,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196,51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63:25:0601011:0028,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692,23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63:25:0601011:0030,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4372,01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Земельный участок для общественно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деловых целей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63:25:0604002:0013,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4953,52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Земельный участок для ведения личного подсобного хозяйства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63:25:0602003:11,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403,1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63:25:0606002:0010,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1494,6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63:25:0606002:0011,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169,5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63:25:0601020:0006,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1637,6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Самоходная техника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2326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2337AA63, 2002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-701,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2365AA63,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3266CA63,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3267CA63,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3268CA63,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3269CA63,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3270CA63,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3271CA63,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3272CA63,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3273CA63,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3274CA63,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СК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9266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СК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9267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СК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9268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СК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9269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3275CA63,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3659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Комбайн 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4004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ХТ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3-150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-09,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4275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ХТ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3-150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-09,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4276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Трактор колесный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BUHLER VERSATILE 2375,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4286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Трактор колесный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BUHLER VERSATILE 2375,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4287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-700,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7217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-700,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7221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-700,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7239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-700,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7240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БЕЛАРУС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-82,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7454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БЕЛАРУС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-1221,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7480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БЕЛАРУС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-1221,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7484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гусеничный ДТ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-75,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8332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-703,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9212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-700,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9222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-30,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9263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-82.1,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9264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-82.1,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9265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9291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9293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Трактор колесный РСМ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9294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Автотехника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Прицеп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9674,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оранжевый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№АН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295263, 1989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Прицеп 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496,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хаки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№АН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196963, 1990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Прицеп СЗАП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8551,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№АН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295363, 1991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ВАЗ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-21140, VIN XTA21140074306946,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средний серо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зеленый металлик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ЕХ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163, 2006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ВАЗ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-2121, VIN XTA212100N0906846,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красный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700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163, 1991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Шевроле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Нива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VIN X9L21230070197438,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черно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синий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828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163, 2007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5201,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голубой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603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63, 1982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3307, XTH330700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1502642,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защитный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650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63, 1993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5312, VIN XTH531200H1129403,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голубой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659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КУ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63, 1987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Шевроле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Нива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VIN X9L21230070170110,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светло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серебристый металлик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908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163, 2007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Шевроле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Нива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VIN X9L212300B0354393,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темно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коричневый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802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РЕ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Шевроле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Нива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VIN X9L212300B0353825,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светло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серебристый металлик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803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РЕ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163, 2011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Lada priora 217130, VIN XTA21713090000724,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белый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858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РВ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163, 2009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5201, VIN XTH520100H0983036,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голубой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601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63, 1988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ВАЗ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21214, VIN XTA21214031719849,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ярко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белый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902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163, 2003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3307, VIN XTH330700P1476164,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хаки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616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ЕТ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63, 1993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Волгарь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защитный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63, 1979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САЗ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3507, VIN XTH531400I1219980,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синий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683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63, 1988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ВАЗ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212140, VIN XTA21214081892981,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темно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зеленый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853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163, 2008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ВАЗ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21310, VIN XTA21310050063506,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серебристо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желтый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855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2705, VIN X9627050050091683,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619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КАМАЗ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5410, VIN XTC541000K0205720,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защитный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601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РК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63, 1989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КАМАЗ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55102, VIN XTC0605320K034152,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желтый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602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РК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63, 1989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КАМАЗ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5320,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красный №Х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603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РК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63, 1985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КАМАЗ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55102,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светло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дымчатый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687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УУ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63, 1991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Оборудование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Комплекс газогенераторный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ГТГ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-450),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Миниэлектростанция МЭС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-100, 2006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Транспортёр ТСН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-3,0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В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полнокомплектный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),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Пневмосортировальная машина ПСМ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-25, 2005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Машина зерносортировальная МЗС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-20, 2005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Жатка валковая ЖВП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-9,1, 2005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Дискатор БДМ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Шлейф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каток ШКС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-6, 2006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Доильная установка УДМ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-100, 2006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Транспортёр ТСН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-3,0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В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полнокомплектный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), 2007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Доильная установка УДС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, 2007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Доильная установка АДМН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-200, 2007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Опрыскиватель «Микосан»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Машина для внесения минеральных удобрений в почву МВУ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-5, 2004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Плуг лемешный ПЛН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-8-35,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Сеялка СЗ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-3,6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 без катков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2005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Дискатор БДМ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ПШК со шлейф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катком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, 2008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Измельчитель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смеситель раздатчик кормов «ИСРК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-12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, 2003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Комбинированный культиватор глубокой вертикальной обработки почвы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Salford DRD 9800-16,6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’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(9813),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Универсальная комбинированная машина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Flexi-Coil ST820X40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’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(12.2v),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Сеялка точного высева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Sfoggia SIGMA-2000 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70, 2010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Сеялка точного высева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Sfoggia SIGMA-2000 12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70, 2010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Культиватор пропашной КМО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-8,4, 2010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Культиватор пропашной КМО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-5,6, 2010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Измельчитель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смеситель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раздатчик кормов ИСКР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-12, 2010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Танк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охладитель молока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2000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(4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Танк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охладитель молока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4000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Погрузчик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экскаватор ПЭ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Ф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БМ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бульдозерный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грейфер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, 2010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Поголовье КРС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Корова дойная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возраст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лет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(346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.).</w:t>
            </w:r>
          </w:p>
        </w:tc>
      </w:tr>
      <w:tr>
        <w:tblPrEx>
          <w:shd w:val="clear" w:color="auto" w:fill="auto"/>
        </w:tblPrEx>
        <w:trPr>
          <w:trHeight w:val="347" w:hRule="atLeast"/>
        </w:trPr>
        <w:tc>
          <w:tcPr>
            <w:tcW w:type="dxa" w:w="46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Начальная цена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101870931</w:t>
            </w:r>
          </w:p>
        </w:tc>
      </w:tr>
      <w:tr>
        <w:tblPrEx>
          <w:shd w:val="clear" w:color="auto" w:fill="auto"/>
        </w:tblPrEx>
        <w:trPr>
          <w:trHeight w:val="347" w:hRule="atLeast"/>
        </w:trPr>
        <w:tc>
          <w:tcPr>
            <w:tcW w:type="dxa" w:w="46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auto"/>
        </w:tblPrEx>
        <w:trPr>
          <w:trHeight w:val="347" w:hRule="atLeast"/>
        </w:trPr>
        <w:tc>
          <w:tcPr>
            <w:tcW w:type="dxa" w:w="46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Размер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auto"/>
        </w:tblPrEx>
        <w:trPr>
          <w:trHeight w:val="1022" w:hRule="atLeast"/>
        </w:trPr>
        <w:tc>
          <w:tcPr>
            <w:tcW w:type="dxa" w:w="46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auto"/>
        </w:tblPrEx>
        <w:trPr>
          <w:trHeight w:val="3723" w:hRule="atLeast"/>
        </w:trPr>
        <w:tc>
          <w:tcPr>
            <w:tcW w:type="dxa" w:w="46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B"/>
              <w:spacing w:after="120" w:line="240" w:lineRule="auto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Реквизиты банковского счета для внесения задатка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получатель – ООО «ЦЭП»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 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40702810100000006183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АО «НВКбанк»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 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30101810100000000751,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КПП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6454005120/645501001,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БИК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046311751,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 указанием «Задаток для участия в открытых торгах по продаже имущества ООО «Заречье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»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залог АО «ТД Янтарный»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  <w:p>
            <w:pPr>
              <w:pStyle w:val="Текстовый блок B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</w:p>
        </w:tc>
      </w:tr>
    </w:tbl>
    <w:p>
      <w:pPr>
        <w:pStyle w:val="Текстовый блок B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Текстовый блок B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Текстовый блок B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Текстовый блок B"/>
        <w:widowControl w:val="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Торги признаны несостоявшимися  </w:t>
      </w:r>
      <w:r>
        <w:rPr>
          <w:rFonts w:ascii="Calibri"/>
          <w:sz w:val="24"/>
          <w:szCs w:val="24"/>
          <w:rtl w:val="0"/>
          <w:lang w:val="ru-RU"/>
        </w:rPr>
        <w:t xml:space="preserve">- </w:t>
      </w:r>
      <w:r>
        <w:rPr>
          <w:sz w:val="24"/>
          <w:szCs w:val="24"/>
          <w:rtl w:val="0"/>
          <w:lang w:val="ru-RU"/>
        </w:rPr>
        <w:t>к участию в торгах не было допущено ни одного участника</w:t>
      </w:r>
      <w:r>
        <w:rPr>
          <w:rFonts w:ascii="Calibri"/>
          <w:sz w:val="24"/>
          <w:szCs w:val="24"/>
          <w:rtl w:val="0"/>
          <w:lang w:val="ru-RU"/>
        </w:rPr>
        <w:t>.</w:t>
      </w:r>
    </w:p>
    <w:p>
      <w:pPr>
        <w:pStyle w:val="Текстовый блок B"/>
        <w:spacing w:line="240" w:lineRule="auto"/>
        <w:rPr>
          <w:sz w:val="24"/>
          <w:szCs w:val="24"/>
        </w:rPr>
      </w:pPr>
      <w:r>
        <w:rPr>
          <w:rFonts w:ascii="Calibri"/>
          <w:sz w:val="24"/>
          <w:szCs w:val="24"/>
          <w:rtl w:val="0"/>
          <w:lang w:val="ru-RU"/>
        </w:rPr>
        <w:t xml:space="preserve">   </w:t>
      </w:r>
    </w:p>
    <w:p>
      <w:pPr>
        <w:pStyle w:val="Текстовый блок B"/>
        <w:rPr>
          <w:sz w:val="24"/>
          <w:szCs w:val="24"/>
        </w:rPr>
      </w:pPr>
      <w:r>
        <w:rPr>
          <w:rFonts w:hAnsi="Calibri" w:hint="default"/>
          <w:sz w:val="24"/>
          <w:szCs w:val="24"/>
          <w:rtl w:val="0"/>
          <w:lang w:val="ru-RU"/>
        </w:rPr>
        <w:t>Протокол</w:t>
      </w:r>
      <w:r>
        <w:rPr>
          <w:rFonts w:ascii="Arial Unicode MS" w:cs="Arial Unicode MS" w:hAnsi="Arial Unicode MS" w:eastAsia="Arial Unicode MS"/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sz w:val="24"/>
          <w:szCs w:val="24"/>
          <w:rtl w:val="0"/>
          <w:lang w:val="ru-RU"/>
        </w:rPr>
        <w:t>о</w:t>
      </w:r>
      <w:r>
        <w:rPr>
          <w:rFonts w:ascii="Arial Unicode MS" w:cs="Arial Unicode MS" w:hAnsi="Arial Unicode MS" w:eastAsia="Arial Unicode MS"/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sz w:val="24"/>
          <w:szCs w:val="24"/>
          <w:rtl w:val="0"/>
          <w:lang w:val="ru-RU"/>
        </w:rPr>
        <w:t>результатах</w:t>
      </w:r>
      <w:r>
        <w:rPr>
          <w:rFonts w:ascii="Arial Unicode MS" w:cs="Arial Unicode MS" w:hAnsi="Arial Unicode MS" w:eastAsia="Arial Unicode MS"/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sz w:val="24"/>
          <w:szCs w:val="24"/>
          <w:rtl w:val="0"/>
          <w:lang w:val="ru-RU"/>
        </w:rPr>
        <w:t>проведения</w:t>
      </w:r>
      <w:r>
        <w:rPr>
          <w:rFonts w:ascii="Arial Unicode MS" w:cs="Arial Unicode MS" w:hAnsi="Arial Unicode MS" w:eastAsia="Arial Unicode MS"/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sz w:val="24"/>
          <w:szCs w:val="24"/>
          <w:rtl w:val="0"/>
          <w:lang w:val="ru-RU"/>
        </w:rPr>
        <w:t>открытых</w:t>
      </w:r>
      <w:r>
        <w:rPr>
          <w:rFonts w:ascii="Arial Unicode MS" w:cs="Arial Unicode MS" w:hAnsi="Arial Unicode MS" w:eastAsia="Arial Unicode MS"/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sz w:val="24"/>
          <w:szCs w:val="24"/>
          <w:rtl w:val="0"/>
          <w:lang w:val="ru-RU"/>
        </w:rPr>
        <w:t>торгов</w:t>
      </w:r>
      <w:r>
        <w:rPr>
          <w:rFonts w:ascii="Arial Unicode MS" w:cs="Arial Unicode MS" w:hAnsi="Arial Unicode MS" w:eastAsia="Arial Unicode MS"/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sz w:val="24"/>
          <w:szCs w:val="24"/>
          <w:rtl w:val="0"/>
          <w:lang w:val="ru-RU"/>
        </w:rPr>
        <w:t>размещается</w:t>
      </w:r>
      <w:r>
        <w:rPr>
          <w:rFonts w:ascii="Arial Unicode MS" w:cs="Arial Unicode MS" w:hAnsi="Arial Unicode MS" w:eastAsia="Arial Unicode MS"/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sz w:val="24"/>
          <w:szCs w:val="24"/>
          <w:rtl w:val="0"/>
          <w:lang w:val="ru-RU"/>
        </w:rPr>
        <w:t>оператором</w:t>
      </w:r>
      <w:r>
        <w:rPr>
          <w:rFonts w:ascii="Arial Unicode MS" w:cs="Arial Unicode MS" w:hAnsi="Arial Unicode MS" w:eastAsia="Arial Unicode MS"/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sz w:val="24"/>
          <w:szCs w:val="24"/>
          <w:rtl w:val="0"/>
          <w:lang w:val="ru-RU"/>
        </w:rPr>
        <w:t>электронной</w:t>
      </w:r>
      <w:r>
        <w:rPr>
          <w:rFonts w:ascii="Arial Unicode MS" w:cs="Arial Unicode MS" w:hAnsi="Arial Unicode MS" w:eastAsia="Arial Unicode MS"/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sz w:val="24"/>
          <w:szCs w:val="24"/>
          <w:rtl w:val="0"/>
          <w:lang w:val="ru-RU"/>
        </w:rPr>
        <w:t>торговой</w:t>
      </w:r>
      <w:r>
        <w:rPr>
          <w:rFonts w:ascii="Arial Unicode MS" w:cs="Arial Unicode MS" w:hAnsi="Arial Unicode MS" w:eastAsia="Arial Unicode MS"/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sz w:val="24"/>
          <w:szCs w:val="24"/>
          <w:rtl w:val="0"/>
          <w:lang w:val="ru-RU"/>
        </w:rPr>
        <w:t>площадки</w:t>
      </w:r>
      <w:r>
        <w:rPr>
          <w:rFonts w:ascii="Arial Unicode MS" w:cs="Arial Unicode MS" w:hAnsi="Arial Unicode MS" w:eastAsia="Arial Unicode MS"/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sz w:val="24"/>
          <w:szCs w:val="24"/>
          <w:rtl w:val="0"/>
          <w:lang w:val="ru-RU"/>
        </w:rPr>
        <w:t>на</w:t>
      </w:r>
      <w:r>
        <w:rPr>
          <w:rFonts w:ascii="Arial Unicode MS" w:cs="Arial Unicode MS" w:hAnsi="Arial Unicode MS" w:eastAsia="Arial Unicode MS"/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sz w:val="24"/>
          <w:szCs w:val="24"/>
          <w:rtl w:val="0"/>
          <w:lang w:val="ru-RU"/>
        </w:rPr>
        <w:t>электронной</w:t>
      </w:r>
      <w:r>
        <w:rPr>
          <w:rFonts w:ascii="Arial Unicode MS" w:cs="Arial Unicode MS" w:hAnsi="Arial Unicode MS" w:eastAsia="Arial Unicode MS"/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sz w:val="24"/>
          <w:szCs w:val="24"/>
          <w:rtl w:val="0"/>
          <w:lang w:val="ru-RU"/>
        </w:rPr>
        <w:t>торговой</w:t>
      </w:r>
      <w:r>
        <w:rPr>
          <w:rFonts w:ascii="Arial Unicode MS" w:cs="Arial Unicode MS" w:hAnsi="Arial Unicode MS" w:eastAsia="Arial Unicode MS"/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sz w:val="24"/>
          <w:szCs w:val="24"/>
          <w:rtl w:val="0"/>
          <w:lang w:val="ru-RU"/>
        </w:rPr>
        <w:t>площадке</w:t>
      </w:r>
      <w:r>
        <w:rPr>
          <w:rFonts w:ascii="Calibri"/>
          <w:sz w:val="24"/>
          <w:szCs w:val="24"/>
          <w:rtl w:val="0"/>
          <w:lang w:val="ru-RU"/>
        </w:rPr>
        <w:t xml:space="preserve">, </w:t>
      </w:r>
      <w:r>
        <w:rPr>
          <w:rFonts w:hAnsi="Calibri" w:hint="default"/>
          <w:sz w:val="24"/>
          <w:szCs w:val="24"/>
          <w:rtl w:val="0"/>
          <w:lang w:val="ru-RU"/>
        </w:rPr>
        <w:t>а</w:t>
      </w:r>
      <w:r>
        <w:rPr>
          <w:rFonts w:ascii="Arial Unicode MS" w:cs="Arial Unicode MS" w:hAnsi="Arial Unicode MS" w:eastAsia="Arial Unicode MS"/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sz w:val="24"/>
          <w:szCs w:val="24"/>
          <w:rtl w:val="0"/>
          <w:lang w:val="ru-RU"/>
        </w:rPr>
        <w:t>также</w:t>
      </w:r>
      <w:r>
        <w:rPr>
          <w:rFonts w:ascii="Arial Unicode MS" w:cs="Arial Unicode MS" w:hAnsi="Arial Unicode MS" w:eastAsia="Arial Unicode MS"/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sz w:val="24"/>
          <w:szCs w:val="24"/>
          <w:rtl w:val="0"/>
          <w:lang w:val="ru-RU"/>
        </w:rPr>
        <w:t>в</w:t>
      </w:r>
      <w:r>
        <w:rPr>
          <w:rFonts w:ascii="Arial Unicode MS" w:cs="Arial Unicode MS" w:hAnsi="Arial Unicode MS" w:eastAsia="Arial Unicode MS"/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sz w:val="24"/>
          <w:szCs w:val="24"/>
          <w:rtl w:val="0"/>
          <w:lang w:val="ru-RU"/>
        </w:rPr>
        <w:t>Едином</w:t>
      </w:r>
      <w:r>
        <w:rPr>
          <w:rFonts w:ascii="Arial Unicode MS" w:cs="Arial Unicode MS" w:hAnsi="Arial Unicode MS" w:eastAsia="Arial Unicode MS"/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sz w:val="24"/>
          <w:szCs w:val="24"/>
          <w:rtl w:val="0"/>
          <w:lang w:val="ru-RU"/>
        </w:rPr>
        <w:t>федеральном</w:t>
      </w:r>
      <w:r>
        <w:rPr>
          <w:rFonts w:ascii="Arial Unicode MS" w:cs="Arial Unicode MS" w:hAnsi="Arial Unicode MS" w:eastAsia="Arial Unicode MS"/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sz w:val="24"/>
          <w:szCs w:val="24"/>
          <w:rtl w:val="0"/>
          <w:lang w:val="ru-RU"/>
        </w:rPr>
        <w:t>реестре</w:t>
      </w:r>
      <w:r>
        <w:rPr>
          <w:rFonts w:ascii="Arial Unicode MS" w:cs="Arial Unicode MS" w:hAnsi="Arial Unicode MS" w:eastAsia="Arial Unicode MS"/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sz w:val="24"/>
          <w:szCs w:val="24"/>
          <w:rtl w:val="0"/>
          <w:lang w:val="ru-RU"/>
        </w:rPr>
        <w:t>сведений</w:t>
      </w:r>
      <w:r>
        <w:rPr>
          <w:rFonts w:ascii="Arial Unicode MS" w:cs="Arial Unicode MS" w:hAnsi="Arial Unicode MS" w:eastAsia="Arial Unicode MS"/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sz w:val="24"/>
          <w:szCs w:val="24"/>
          <w:rtl w:val="0"/>
          <w:lang w:val="ru-RU"/>
        </w:rPr>
        <w:t>о</w:t>
      </w:r>
      <w:r>
        <w:rPr>
          <w:rFonts w:ascii="Arial Unicode MS" w:cs="Arial Unicode MS" w:hAnsi="Arial Unicode MS" w:eastAsia="Arial Unicode MS"/>
          <w:sz w:val="24"/>
          <w:szCs w:val="24"/>
          <w:rtl w:val="0"/>
          <w:lang w:val="ru-RU"/>
        </w:rPr>
        <w:t xml:space="preserve"> </w:t>
      </w:r>
      <w:r>
        <w:rPr>
          <w:rFonts w:hAnsi="Calibri" w:hint="default"/>
          <w:sz w:val="24"/>
          <w:szCs w:val="24"/>
          <w:rtl w:val="0"/>
          <w:lang w:val="ru-RU"/>
        </w:rPr>
        <w:t>банкротстве</w:t>
      </w:r>
      <w:r>
        <w:rPr>
          <w:rFonts w:ascii="Calibri"/>
          <w:sz w:val="24"/>
          <w:szCs w:val="24"/>
          <w:rtl w:val="0"/>
          <w:lang w:val="ru-RU"/>
        </w:rPr>
        <w:t>.</w:t>
      </w:r>
    </w:p>
    <w:p>
      <w:pPr>
        <w:pStyle w:val="Текстовый блок B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rFonts w:ascii="Calibri"/>
          <w:sz w:val="24"/>
          <w:szCs w:val="24"/>
          <w:rtl w:val="0"/>
          <w:lang w:val="ru-RU"/>
        </w:rPr>
        <w:t>10 (</w:t>
      </w:r>
      <w:r>
        <w:rPr>
          <w:sz w:val="24"/>
          <w:szCs w:val="24"/>
          <w:rtl w:val="0"/>
          <w:lang w:val="ru-RU"/>
        </w:rPr>
        <w:t>десяти</w:t>
      </w:r>
      <w:r>
        <w:rPr>
          <w:rFonts w:ascii="Calibri"/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rFonts w:ascii="Calibri"/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en-US"/>
        </w:rPr>
        <w:t> </w:t>
      </w:r>
    </w:p>
    <w:p>
      <w:pPr>
        <w:pStyle w:val="Текстовый блок B"/>
        <w:spacing w:line="240" w:lineRule="auto"/>
      </w:pPr>
      <w:r>
        <w:rPr>
          <w:sz w:val="24"/>
          <w:szCs w:val="24"/>
          <w:rtl w:val="0"/>
        </w:rPr>
        <w:br w:type="textWrapping"/>
        <w:br w:type="page"/>
      </w:r>
    </w:p>
    <w:p>
      <w:pPr>
        <w:pStyle w:val="Текстовый блок B"/>
        <w:spacing w:line="240" w:lineRule="auto"/>
        <w:rPr>
          <w:sz w:val="24"/>
          <w:szCs w:val="24"/>
          <w:rtl w:val="0"/>
        </w:rPr>
      </w:pPr>
    </w:p>
    <w:p>
      <w:pPr>
        <w:pStyle w:val="Текстовый блок B"/>
        <w:spacing w:line="240" w:lineRule="auto"/>
        <w:rPr>
          <w:sz w:val="24"/>
          <w:szCs w:val="24"/>
        </w:rPr>
      </w:pPr>
    </w:p>
    <w:p>
      <w:pPr>
        <w:pStyle w:val="Текстовый блок B"/>
        <w:spacing w:line="240" w:lineRule="auto"/>
      </w:pPr>
      <w:r>
        <w:rPr>
          <w:sz w:val="24"/>
          <w:szCs w:val="24"/>
          <w:rtl w:val="0"/>
        </w:rPr>
        <w:br w:type="page"/>
      </w:r>
    </w:p>
    <w:p>
      <w:pPr>
        <w:pStyle w:val="Текстовый блок B"/>
        <w:spacing w:line="240" w:lineRule="auto"/>
        <w:rPr>
          <w:sz w:val="24"/>
          <w:szCs w:val="24"/>
          <w:rtl w:val="0"/>
        </w:rPr>
      </w:pPr>
    </w:p>
    <w:p>
      <w:pPr>
        <w:pStyle w:val="Текстовый блок B"/>
        <w:spacing w:line="240" w:lineRule="auto"/>
        <w:rPr>
          <w:sz w:val="24"/>
          <w:szCs w:val="24"/>
        </w:rPr>
      </w:pPr>
    </w:p>
    <w:p>
      <w:pPr>
        <w:pStyle w:val="Текстовый блок B"/>
        <w:spacing w:line="240" w:lineRule="auto"/>
      </w:pPr>
      <w:r>
        <w:rPr>
          <w:sz w:val="24"/>
          <w:szCs w:val="24"/>
          <w:rtl w:val="0"/>
        </w:rPr>
        <w:br w:type="page"/>
      </w:r>
    </w:p>
    <w:p>
      <w:pPr>
        <w:pStyle w:val="Текстовый блок B"/>
        <w:spacing w:line="240" w:lineRule="auto"/>
      </w:pPr>
      <w:r>
        <w:rPr>
          <w:sz w:val="24"/>
          <w:szCs w:val="24"/>
          <w:rtl w:val="0"/>
        </w:rPr>
      </w:r>
    </w:p>
    <w:sectPr>
      <w:headerReference w:type="default" r:id="rId6"/>
      <w:footerReference w:type="default" r:id="rId7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1314"/>
          <w:tab w:val="clear" w:pos="0"/>
        </w:tabs>
        <w:ind w:left="1314" w:hanging="23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2130"/>
          <w:tab w:val="clear" w:pos="0"/>
        </w:tabs>
        <w:ind w:left="2130" w:hanging="33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855"/>
          <w:tab w:val="clear" w:pos="0"/>
        </w:tabs>
        <w:ind w:left="2855" w:hanging="271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3570"/>
          <w:tab w:val="clear" w:pos="0"/>
        </w:tabs>
        <w:ind w:left="3570" w:hanging="33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4290"/>
          <w:tab w:val="clear" w:pos="0"/>
        </w:tabs>
        <w:ind w:left="4290" w:hanging="33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5015"/>
          <w:tab w:val="clear" w:pos="0"/>
        </w:tabs>
        <w:ind w:left="5015" w:hanging="271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730"/>
          <w:tab w:val="clear" w:pos="0"/>
        </w:tabs>
        <w:ind w:left="5730" w:hanging="33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6450"/>
          <w:tab w:val="clear" w:pos="0"/>
        </w:tabs>
        <w:ind w:left="6450" w:hanging="33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7175"/>
          <w:tab w:val="clear" w:pos="0"/>
        </w:tabs>
        <w:ind w:left="7175" w:hanging="271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1335"/>
          <w:tab w:val="clear" w:pos="0"/>
        </w:tabs>
        <w:ind w:left="1335" w:hanging="255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2130"/>
          <w:tab w:val="clear" w:pos="0"/>
        </w:tabs>
        <w:ind w:left="2130" w:hanging="33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855"/>
          <w:tab w:val="clear" w:pos="0"/>
        </w:tabs>
        <w:ind w:left="2855" w:hanging="271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3570"/>
          <w:tab w:val="clear" w:pos="0"/>
        </w:tabs>
        <w:ind w:left="3570" w:hanging="33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4290"/>
          <w:tab w:val="clear" w:pos="0"/>
        </w:tabs>
        <w:ind w:left="4290" w:hanging="33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5015"/>
          <w:tab w:val="clear" w:pos="0"/>
        </w:tabs>
        <w:ind w:left="5015" w:hanging="271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730"/>
          <w:tab w:val="clear" w:pos="0"/>
        </w:tabs>
        <w:ind w:left="5730" w:hanging="33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6450"/>
          <w:tab w:val="clear" w:pos="0"/>
        </w:tabs>
        <w:ind w:left="6450" w:hanging="33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7175"/>
          <w:tab w:val="clear" w:pos="0"/>
        </w:tabs>
        <w:ind w:left="7175" w:hanging="271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1314"/>
          <w:tab w:val="clear" w:pos="0"/>
        </w:tabs>
        <w:ind w:left="1314" w:hanging="23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2130"/>
          <w:tab w:val="clear" w:pos="0"/>
        </w:tabs>
        <w:ind w:left="2130" w:hanging="33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855"/>
          <w:tab w:val="clear" w:pos="0"/>
        </w:tabs>
        <w:ind w:left="2855" w:hanging="271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3570"/>
          <w:tab w:val="clear" w:pos="0"/>
        </w:tabs>
        <w:ind w:left="3570" w:hanging="33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4290"/>
          <w:tab w:val="clear" w:pos="0"/>
        </w:tabs>
        <w:ind w:left="4290" w:hanging="33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5015"/>
          <w:tab w:val="clear" w:pos="0"/>
        </w:tabs>
        <w:ind w:left="5015" w:hanging="271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730"/>
          <w:tab w:val="clear" w:pos="0"/>
        </w:tabs>
        <w:ind w:left="5730" w:hanging="33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6450"/>
          <w:tab w:val="clear" w:pos="0"/>
        </w:tabs>
        <w:ind w:left="6450" w:hanging="33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7175"/>
          <w:tab w:val="clear" w:pos="0"/>
        </w:tabs>
        <w:ind w:left="7175" w:hanging="271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</w:abstractNum>
  <w:abstractNum w:abstractNumId="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615"/>
          <w:tab w:val="clear" w:pos="0"/>
        </w:tabs>
        <w:ind w:left="615" w:hanging="255"/>
      </w:pPr>
      <w:rPr>
        <w:position w:val="0"/>
        <w:sz w:val="24"/>
        <w:szCs w:val="24"/>
        <w:shd w:val="clear" w:color="auto" w:fill="ffff0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shd w:val="clear" w:color="auto" w:fill="ffff0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shd w:val="clear" w:color="auto" w:fill="ffff0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shd w:val="clear" w:color="auto" w:fill="ffff0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shd w:val="clear" w:color="auto" w:fill="ffff0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shd w:val="clear" w:color="auto" w:fill="ffff0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shd w:val="clear" w:color="auto" w:fill="ffff0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shd w:val="clear" w:color="auto" w:fill="ffff0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shd w:val="clear" w:color="auto" w:fill="ffff00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5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6">
    <w:multiLevelType w:val="multilevel"/>
    <w:styleLink w:val="List 1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7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</w:abstractNum>
  <w:abstractNum w:abstractNumId="8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9">
    <w:multiLevelType w:val="multilevel"/>
    <w:styleLink w:val="List 2"/>
    <w:lvl w:ilvl="0">
      <w:start w:val="2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</w:abstractNum>
  <w:abstractNum w:abstractNumId="10">
    <w:multiLevelType w:val="multilevel"/>
    <w:styleLink w:val="List 2"/>
    <w:lvl w:ilvl="0">
      <w:start w:val="0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11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12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13">
    <w:multiLevelType w:val="multilevel"/>
    <w:styleLink w:val="List 3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14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</w:abstractNum>
  <w:abstractNum w:abstractNumId="15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16">
    <w:multiLevelType w:val="multilevel"/>
    <w:styleLink w:val="List 4"/>
    <w:lvl w:ilvl="0">
      <w:start w:val="3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</w:abstractNum>
  <w:abstractNum w:abstractNumId="17">
    <w:multiLevelType w:val="multilevel"/>
    <w:styleLink w:val="List 4"/>
    <w:lvl w:ilvl="0">
      <w:start w:val="0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18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19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0">
    <w:multiLevelType w:val="multilevel"/>
    <w:styleLink w:val="List 5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21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</w:abstractNum>
  <w:abstractNum w:abstractNumId="22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3">
    <w:multiLevelType w:val="multilevel"/>
    <w:styleLink w:val="List 6"/>
    <w:lvl w:ilvl="0">
      <w:start w:val="4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</w:abstractNum>
  <w:abstractNum w:abstractNumId="24">
    <w:multiLevelType w:val="multilevel"/>
    <w:styleLink w:val="List 6"/>
    <w:lvl w:ilvl="0">
      <w:start w:val="0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25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26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7">
    <w:multiLevelType w:val="multilevel"/>
    <w:styleLink w:val="List 7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28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</w:abstractNum>
  <w:abstractNum w:abstractNumId="29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30">
    <w:multiLevelType w:val="multilevel"/>
    <w:styleLink w:val="List 8"/>
    <w:lvl w:ilvl="0">
      <w:start w:val="5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</w:abstractNum>
  <w:abstractNum w:abstractNumId="31">
    <w:multiLevelType w:val="multilevel"/>
    <w:styleLink w:val="List 8"/>
    <w:lvl w:ilvl="0">
      <w:start w:val="0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32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33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34">
    <w:multiLevelType w:val="multilevel"/>
    <w:styleLink w:val="List 9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35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36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37">
    <w:multiLevelType w:val="multilevel"/>
    <w:styleLink w:val="List 10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38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</w:abstractNum>
  <w:abstractNum w:abstractNumId="39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40">
    <w:multiLevelType w:val="multilevel"/>
    <w:styleLink w:val="List 11"/>
    <w:lvl w:ilvl="0">
      <w:start w:val="6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</w:abstractNum>
  <w:abstractNum w:abstractNumId="41">
    <w:multiLevelType w:val="multilevel"/>
    <w:styleLink w:val="List 11"/>
    <w:lvl w:ilvl="0">
      <w:start w:val="0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2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3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44">
    <w:multiLevelType w:val="multilevel"/>
    <w:styleLink w:val="List 12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5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6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47">
    <w:multiLevelType w:val="multilevel"/>
    <w:styleLink w:val="List 13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8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</w:abstractNum>
  <w:abstractNum w:abstractNumId="49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50">
    <w:multiLevelType w:val="multilevel"/>
    <w:styleLink w:val="List 14"/>
    <w:lvl w:ilvl="0">
      <w:start w:val="7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  <w:lang w:val="ru-RU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Текстовый блок A">
    <w:name w:val="Текстовый блок A"/>
    <w:next w:val="Текстовый блок A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List 0">
    <w:name w:val="List 0"/>
    <w:basedOn w:val="Импортированный стиль 1"/>
    <w:next w:val="List 0"/>
    <w:pPr>
      <w:numPr>
        <w:numId w:val="1"/>
      </w:numPr>
    </w:pPr>
  </w:style>
  <w:style w:type="numbering" w:styleId="Импортированный стиль 1">
    <w:name w:val="Импортированный стиль 1"/>
    <w:next w:val="Импортированный стиль 1"/>
    <w:pPr>
      <w:numPr>
        <w:numId w:val="2"/>
      </w:numPr>
    </w:pPr>
  </w:style>
  <w:style w:type="paragraph" w:styleId="Текстовый блок B">
    <w:name w:val="Текстовый блок B"/>
    <w:next w:val="Текстовый блок B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Calibri" w:cs="Calibri" w:hAnsi="Calibri" w:eastAsia="Calibri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single" w:color="000000"/>
      <w:vertAlign w:val="baseline"/>
      <w:lang w:val="de-DE"/>
    </w:rPr>
  </w:style>
  <w:style w:type="numbering" w:styleId="List 1">
    <w:name w:val="List 1"/>
    <w:basedOn w:val="Импортированный стиль 2"/>
    <w:next w:val="List 1"/>
    <w:pPr>
      <w:numPr>
        <w:numId w:val="5"/>
      </w:numPr>
    </w:pPr>
  </w:style>
  <w:style w:type="numbering" w:styleId="Импортированный стиль 2">
    <w:name w:val="Импортированный стиль 2"/>
    <w:next w:val="Импортированный стиль 2"/>
    <w:pPr>
      <w:numPr>
        <w:numId w:val="6"/>
      </w:numPr>
    </w:pPr>
  </w:style>
  <w:style w:type="numbering" w:styleId="List 2">
    <w:name w:val="List 2"/>
    <w:basedOn w:val="Импортированный стиль 3"/>
    <w:next w:val="List 2"/>
    <w:pPr>
      <w:numPr>
        <w:numId w:val="8"/>
      </w:numPr>
    </w:pPr>
  </w:style>
  <w:style w:type="numbering" w:styleId="Импортированный стиль 3">
    <w:name w:val="Импортированный стиль 3"/>
    <w:next w:val="Импортированный стиль 3"/>
    <w:pPr>
      <w:numPr>
        <w:numId w:val="9"/>
      </w:numPr>
    </w:pPr>
  </w:style>
  <w:style w:type="numbering" w:styleId="List 3">
    <w:name w:val="List 3"/>
    <w:basedOn w:val="Импортированный стиль 4"/>
    <w:next w:val="List 3"/>
    <w:pPr>
      <w:numPr>
        <w:numId w:val="12"/>
      </w:numPr>
    </w:pPr>
  </w:style>
  <w:style w:type="numbering" w:styleId="Импортированный стиль 4">
    <w:name w:val="Импортированный стиль 4"/>
    <w:next w:val="Импортированный стиль 4"/>
    <w:pPr>
      <w:numPr>
        <w:numId w:val="13"/>
      </w:numPr>
    </w:pPr>
  </w:style>
  <w:style w:type="numbering" w:styleId="List 4">
    <w:name w:val="List 4"/>
    <w:basedOn w:val="Импортированный стиль 5"/>
    <w:next w:val="List 4"/>
    <w:pPr>
      <w:numPr>
        <w:numId w:val="15"/>
      </w:numPr>
    </w:pPr>
  </w:style>
  <w:style w:type="numbering" w:styleId="Импортированный стиль 5">
    <w:name w:val="Импортированный стиль 5"/>
    <w:next w:val="Импортированный стиль 5"/>
    <w:pPr>
      <w:numPr>
        <w:numId w:val="16"/>
      </w:numPr>
    </w:pPr>
  </w:style>
  <w:style w:type="numbering" w:styleId="List 5">
    <w:name w:val="List 5"/>
    <w:basedOn w:val="Импортированный стиль 6"/>
    <w:next w:val="List 5"/>
    <w:pPr>
      <w:numPr>
        <w:numId w:val="19"/>
      </w:numPr>
    </w:pPr>
  </w:style>
  <w:style w:type="numbering" w:styleId="Импортированный стиль 6">
    <w:name w:val="Импортированный стиль 6"/>
    <w:next w:val="Импортированный стиль 6"/>
    <w:pPr>
      <w:numPr>
        <w:numId w:val="20"/>
      </w:numPr>
    </w:pPr>
  </w:style>
  <w:style w:type="numbering" w:styleId="List 6">
    <w:name w:val="List 6"/>
    <w:basedOn w:val="Импортированный стиль 7"/>
    <w:next w:val="List 6"/>
    <w:pPr>
      <w:numPr>
        <w:numId w:val="22"/>
      </w:numPr>
    </w:pPr>
  </w:style>
  <w:style w:type="numbering" w:styleId="Импортированный стиль 7">
    <w:name w:val="Импортированный стиль 7"/>
    <w:next w:val="Импортированный стиль 7"/>
    <w:pPr>
      <w:numPr>
        <w:numId w:val="23"/>
      </w:numPr>
    </w:pPr>
  </w:style>
  <w:style w:type="numbering" w:styleId="List 7">
    <w:name w:val="List 7"/>
    <w:basedOn w:val="Импортированный стиль 8"/>
    <w:next w:val="List 7"/>
    <w:pPr>
      <w:numPr>
        <w:numId w:val="26"/>
      </w:numPr>
    </w:pPr>
  </w:style>
  <w:style w:type="numbering" w:styleId="Импортированный стиль 8">
    <w:name w:val="Импортированный стиль 8"/>
    <w:next w:val="Импортированный стиль 8"/>
    <w:pPr>
      <w:numPr>
        <w:numId w:val="27"/>
      </w:numPr>
    </w:pPr>
  </w:style>
  <w:style w:type="numbering" w:styleId="List 8">
    <w:name w:val="List 8"/>
    <w:basedOn w:val="Импортированный стиль 9"/>
    <w:next w:val="List 8"/>
    <w:pPr>
      <w:numPr>
        <w:numId w:val="29"/>
      </w:numPr>
    </w:pPr>
  </w:style>
  <w:style w:type="numbering" w:styleId="Импортированный стиль 9">
    <w:name w:val="Импортированный стиль 9"/>
    <w:next w:val="Импортированный стиль 9"/>
    <w:pPr>
      <w:numPr>
        <w:numId w:val="30"/>
      </w:numPr>
    </w:pPr>
  </w:style>
  <w:style w:type="numbering" w:styleId="List 9">
    <w:name w:val="List 9"/>
    <w:basedOn w:val="Импортированный стиль 10"/>
    <w:next w:val="List 9"/>
    <w:pPr>
      <w:numPr>
        <w:numId w:val="33"/>
      </w:numPr>
    </w:pPr>
  </w:style>
  <w:style w:type="numbering" w:styleId="Импортированный стиль 10">
    <w:name w:val="Импортированный стиль 10"/>
    <w:next w:val="Импортированный стиль 10"/>
    <w:pPr>
      <w:numPr>
        <w:numId w:val="34"/>
      </w:numPr>
    </w:pPr>
  </w:style>
  <w:style w:type="numbering" w:styleId="List 10">
    <w:name w:val="List 10"/>
    <w:basedOn w:val="Импортированный стиль 11"/>
    <w:next w:val="List 10"/>
    <w:pPr>
      <w:numPr>
        <w:numId w:val="36"/>
      </w:numPr>
    </w:pPr>
  </w:style>
  <w:style w:type="numbering" w:styleId="Импортированный стиль 11">
    <w:name w:val="Импортированный стиль 11"/>
    <w:next w:val="Импортированный стиль 11"/>
    <w:pPr>
      <w:numPr>
        <w:numId w:val="37"/>
      </w:numPr>
    </w:pPr>
  </w:style>
  <w:style w:type="numbering" w:styleId="List 11">
    <w:name w:val="List 11"/>
    <w:basedOn w:val="Импортированный стиль 12"/>
    <w:next w:val="List 11"/>
    <w:pPr>
      <w:numPr>
        <w:numId w:val="39"/>
      </w:numPr>
    </w:pPr>
  </w:style>
  <w:style w:type="numbering" w:styleId="Импортированный стиль 12">
    <w:name w:val="Импортированный стиль 12"/>
    <w:next w:val="Импортированный стиль 12"/>
    <w:pPr>
      <w:numPr>
        <w:numId w:val="40"/>
      </w:numPr>
    </w:pPr>
  </w:style>
  <w:style w:type="character" w:styleId="Hyperlink.1">
    <w:name w:val="Hyperlink.1"/>
    <w:basedOn w:val="Hyperlink"/>
    <w:next w:val="Hyperlink.1"/>
    <w:rPr>
      <w:u w:val="single"/>
    </w:rPr>
  </w:style>
  <w:style w:type="numbering" w:styleId="List 12">
    <w:name w:val="List 12"/>
    <w:basedOn w:val="Импортированный стиль 13"/>
    <w:next w:val="List 12"/>
    <w:pPr>
      <w:numPr>
        <w:numId w:val="43"/>
      </w:numPr>
    </w:pPr>
  </w:style>
  <w:style w:type="numbering" w:styleId="Импортированный стиль 13">
    <w:name w:val="Импортированный стиль 13"/>
    <w:next w:val="Импортированный стиль 13"/>
    <w:pPr>
      <w:numPr>
        <w:numId w:val="44"/>
      </w:numPr>
    </w:pPr>
  </w:style>
  <w:style w:type="numbering" w:styleId="List 13">
    <w:name w:val="List 13"/>
    <w:basedOn w:val="Импортированный стиль 14"/>
    <w:next w:val="List 13"/>
    <w:pPr>
      <w:numPr>
        <w:numId w:val="46"/>
      </w:numPr>
    </w:pPr>
  </w:style>
  <w:style w:type="numbering" w:styleId="Импортированный стиль 14">
    <w:name w:val="Импортированный стиль 14"/>
    <w:next w:val="Импортированный стиль 14"/>
    <w:pPr>
      <w:numPr>
        <w:numId w:val="47"/>
      </w:numPr>
    </w:pPr>
  </w:style>
  <w:style w:type="numbering" w:styleId="List 14">
    <w:name w:val="List 14"/>
    <w:basedOn w:val="Импортированный стиль 15"/>
    <w:next w:val="List 14"/>
    <w:pPr>
      <w:numPr>
        <w:numId w:val="49"/>
      </w:numPr>
    </w:pPr>
  </w:style>
  <w:style w:type="numbering" w:styleId="Импортированный стиль 15">
    <w:name w:val="Импортированный стиль 15"/>
    <w:next w:val="Импортированный стиль 15"/>
    <w:pPr>
      <w:numPr>
        <w:numId w:val="50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yperlink" Target="http://eurtp.ru/" TargetMode="External"/><Relationship Id="rId5" Type="http://schemas.openxmlformats.org/officeDocument/2006/relationships/hyperlink" Target="mailto:mail@tsep.me" TargetMode=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