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Протокол об определении участников торгов №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52.</w:t>
      </w:r>
    </w:p>
    <w:p>
      <w:pPr>
        <w:pStyle w:val="Normal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3"/>
        </w:numPr>
        <w:tabs>
          <w:tab w:val="num" w:pos="663"/>
          <w:tab w:val="left" w:pos="690"/>
        </w:tabs>
        <w:ind w:left="663" w:hanging="303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ru-RU"/>
        </w:rPr>
        <w:t>Организатор торгов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1109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Центр экономики и права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6452932433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1076450011197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</w:pPr>
            <w:hyperlink r:id="rId4" w:history="1">
              <w:r>
                <w:rPr>
                  <w:rStyle w:val="Hyperlink.0"/>
                  <w:rFonts w:ascii="Arial Unicode MS" w:cs="Arial Unicode MS" w:hAnsi="Arial Unicode MS" w:eastAsia="Arial Unicode MS"/>
                  <w:rtl w:val="0"/>
                </w:rPr>
                <w:t>mail@tsep.me</w:t>
              </w:r>
            </w:hyperlink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8-800-550-96-60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Контактное лицо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</w:pPr>
            <w:r>
              <w:rPr>
                <w:rFonts w:ascii="Arial Unicode MS" w:cs="Arial Unicode MS" w:hAnsi="Arial Unicode MS" w:eastAsia="Arial Unicode MS" w:hint="default"/>
                <w:rtl w:val="0"/>
              </w:rPr>
              <w:t>Мозжухин Павел Леонидович</w:t>
            </w:r>
          </w:p>
        </w:tc>
      </w:tr>
    </w:tbl>
    <w:p>
      <w:pPr>
        <w:pStyle w:val="List Paragraph"/>
        <w:widowControl w:val="0"/>
        <w:numPr>
          <w:ilvl w:val="0"/>
          <w:numId w:val="4"/>
        </w:numPr>
        <w:tabs>
          <w:tab w:val="num" w:pos="663"/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7"/>
        </w:numPr>
        <w:spacing w:line="240" w:lineRule="auto"/>
        <w:ind w:left="690" w:hanging="330"/>
        <w:rPr>
          <w:position w:val="0"/>
          <w:sz w:val="24"/>
          <w:szCs w:val="24"/>
        </w:rPr>
      </w:pPr>
    </w:p>
    <w:p>
      <w:pPr>
        <w:pStyle w:val="Normal"/>
        <w:rPr>
          <w:sz w:val="24"/>
          <w:szCs w:val="24"/>
        </w:rPr>
      </w:pPr>
    </w:p>
    <w:p>
      <w:pPr>
        <w:pStyle w:val="List Paragraph"/>
        <w:numPr>
          <w:ilvl w:val="0"/>
          <w:numId w:val="10"/>
        </w:numPr>
        <w:tabs>
          <w:tab w:val="num" w:pos="663"/>
          <w:tab w:val="left" w:pos="690"/>
        </w:tabs>
        <w:ind w:left="663" w:hanging="303"/>
        <w:rPr>
          <w:position w:val="0"/>
          <w:sz w:val="24"/>
          <w:szCs w:val="24"/>
          <w:lang w:val="en-US"/>
        </w:rPr>
      </w:pPr>
      <w:r>
        <w:rPr>
          <w:sz w:val="24"/>
          <w:szCs w:val="24"/>
          <w:rtl w:val="0"/>
          <w:lang w:val="ru-RU"/>
        </w:rPr>
        <w:t>Информация о торгах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p>
      <w:pPr>
        <w:pStyle w:val="Normal"/>
        <w:rPr>
          <w:sz w:val="24"/>
          <w:szCs w:val="24"/>
        </w:rPr>
      </w:pPr>
    </w:p>
    <w:p>
      <w:pPr>
        <w:pStyle w:val="Normal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68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1441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Недвижимое имущество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Нежилое здание семенного склада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2458,7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63:25:06060022:55;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Нежилое здание фуражного склада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450,2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63:25:0606002:45;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Нежилое здание плотницкого цеха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90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63:25:0606002:48;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Нежилое здание ЗАВ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-40,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88,1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63:25:0606002:36;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Нежилое здание строительных материалов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556,8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63:25:0601011:75;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Нежилое здание зерносклада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3996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63:25:0601011:68;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Нежилое здание автозаправочной станции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114,2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63:25:0606002:43;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Жилой дом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трехкомнатная квартира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76,6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63:25:0602003:969;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Здание зерносклада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871,6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63:25:0000000:1473;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Здание продовольственного склада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76,7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63:25:0606002:61;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Здание зерносклада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1222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63:25:0000000:1424;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Гидротехническое сооружение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Пруд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Новый байкал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" 6000000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63:25:0000000:1958;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63:25:0601016:0020,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3805,34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63:25:0601016:0016,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633,59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63:25:0601016:0017,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169,87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63:25:0601016:0027,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196,51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63:25:0601011:0028,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692,23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63:25:0601011:0030,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4372,01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 для общественно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деловых целей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63:25:0604002:0013,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4953,52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 для ведения личного подсобного хозяйства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63:25:0602003:11,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403,1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63:25:0606002:0010,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1494,6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63:25:0606002:0011,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169,5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63:25:0601020:0006,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1637,6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Самоходная техника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2326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2337AA63, 2002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-701,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2365AA63,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3266CA63,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3267CA63,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3268CA63,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3269CA63,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3270CA63,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3271CA63,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3272CA63,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3273CA63,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3274CA63,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СК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9266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СК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9267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СК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9268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СК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9269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3275CA63,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3659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4004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ХТ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3-150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-09,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4275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ХТ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3-150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-09,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4276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Трактор колесный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BUHLER VERSATILE 2375,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4286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Трактор колесный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BUHLER VERSATILE 2375,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4287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7217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7221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7239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7240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БЕЛАРУС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-82,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7454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БЕЛАРУС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-1221,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7480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БЕЛАРУС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-1221,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7484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гусеничный ДТ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-75,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8332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-703,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9212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9222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-30,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9263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-82.1,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9264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-82.1,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9265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9293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9294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Автотехника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Прицеп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9674,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оранжевый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№АН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295263, 1989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Прицеп 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496,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хаки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№АН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196963, 1990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Прицеп СЗАП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8551,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№АН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295363, 1991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ВАЗ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-21140, VIN XTA21140074306946,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средний серо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зеленый металлик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ЕХ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ВАЗ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-2121, VIN XTA212100N0906846,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красный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163, 1991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Шевроле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Нива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VIN X9L21230070197438,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черно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синий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828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5201,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голубой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63, 1982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3307, XTH330700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1502642,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защитный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650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63, 1993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5312, VIN XTH531200H1129403,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голубой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659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КУ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63, 1987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Шевроле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Нива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VIN X9L21230070170110,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светло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серебристый металлик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908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Шевроле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Нива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VIN X9L212300B0354393,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темно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коричневый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РЕ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Шевроле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Нива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VIN X9L212300B0353825,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светло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серебристый металлик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РЕ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Lada priora 217130, VIN XTA21713090000724,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белый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858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РВ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163, 2009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5201, VIN XTH520100H0983036,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голубой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601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63, 1988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ВАЗ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21214, VIN XTA21214031719849,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ярко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белый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163, 2003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3307, VIN XTH330700P1476164,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хаки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616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ЕТ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63, 1993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Волгарь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защитный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63, 1979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САЗ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3507, VIN XTH531400I1219980,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синий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683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63, 1988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ВАЗ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212140, VIN XTA21214081892981,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темно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зеленый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853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163, 2008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ВАЗ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21310, VIN XTA21310050063506,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серебристо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желтый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855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2705, VIN X9627050050091683,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619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КАМАЗ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5410, VIN XTC541000K0205720,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защитный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601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РК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63, 1989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КАМАЗ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55102, VIN XTC0605320K034152,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желтый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РК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63, 1989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КАМАЗ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5320,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красный №Х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РК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63, 1985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КАМАЗ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55102,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светло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дымчатый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687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УУ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Оборудование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Комплекс газогенераторный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ГТГ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-450),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Миниэлектростанция МЭС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-100, 2006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Транспортёр ТСН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-3,0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В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полнокомплектный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),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Пневмосортировальная машина ПСМ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-25, 2005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Машина зерносортировальная МЗС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-20, 2005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Жатка валковая ЖВП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-9,1, 2005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Дискатор БДМ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Шлейф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каток ШКС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-6, 2006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Доильная установка УДМ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-100, 2006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Транспортёр ТСН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-3,0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В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полнокомплектный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),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Доильная установка УДС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Доильная установка АДМН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-200, 2007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Опрыскиватель «Микосан»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Машина для внесения минеральных удобрений в почву МВУ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-5, 2004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Плуг лемешный ПЛН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-8-35,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Сеялка СЗ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-3,6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 без катков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2005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Дискатор БДМ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ПШК со шлейф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катком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, 2008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Измельчитель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смеситель раздатчик кормов «ИСРК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, 2003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Комбинированный культиватор глубокой вертикальной обработки почвы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Salford DRD 9800-16,6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’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(9813),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Универсальная комбинированная машина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Flexi-Coil ST820X40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’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(12.2v),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Сеялка точного высева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Sfoggia SIGMA-2000 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70, 2010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Сеялка точного высева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Sfoggia SIGMA-2000 12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70, 2010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Культиватор пропашной КМО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-8,4, 2010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Культиватор пропашной КМО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-5,6, 2010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Измельчитель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смеситель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раздатчик кормов ИСКР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-12, 2010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Танк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охладитель молока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2000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Танк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охладитель молока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4000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Погрузчик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экскаватор ПЭ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Ф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бульдозерный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грейфер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Поголовье КРС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Корова дойная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возраст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лет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(346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.).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03.07.2017 8:00:00</w:t>
            </w:r>
          </w:p>
        </w:tc>
      </w:tr>
      <w:tr>
        <w:tblPrEx>
          <w:shd w:val="clear" w:color="auto" w:fill="auto"/>
        </w:tblPrEx>
        <w:trPr>
          <w:trHeight w:val="68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08.08.2017 17:00:00</w:t>
            </w:r>
          </w:p>
        </w:tc>
      </w:tr>
    </w:tbl>
    <w:p>
      <w:pPr>
        <w:pStyle w:val="Normal"/>
        <w:widowControl w:val="0"/>
        <w:spacing w:line="240" w:lineRule="auto"/>
        <w:rPr>
          <w:sz w:val="24"/>
          <w:szCs w:val="24"/>
        </w:rPr>
      </w:pPr>
    </w:p>
    <w:p>
      <w:pPr>
        <w:pStyle w:val="Normal"/>
        <w:widowControl w:val="0"/>
        <w:spacing w:line="240" w:lineRule="auto"/>
        <w:rPr>
          <w:sz w:val="24"/>
          <w:szCs w:val="24"/>
        </w:rPr>
      </w:pPr>
    </w:p>
    <w:p>
      <w:pPr>
        <w:pStyle w:val="Normal"/>
        <w:rPr>
          <w:sz w:val="24"/>
          <w:szCs w:val="24"/>
        </w:rPr>
      </w:pP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p>
      <w:pPr>
        <w:pStyle w:val="Normal"/>
        <w:rPr>
          <w:sz w:val="24"/>
          <w:szCs w:val="24"/>
        </w:rPr>
      </w:pPr>
      <w:r>
        <w:rPr>
          <w:rFonts w:ascii="Arial Unicode MS" w:cs="Arial Unicode MS" w:hAnsi="Arial Unicode MS" w:eastAsia="Arial Unicode MS" w:hint="default"/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p>
      <w:pPr>
        <w:pStyle w:val="Normal"/>
        <w:rPr>
          <w:sz w:val="24"/>
          <w:szCs w:val="24"/>
        </w:rPr>
      </w:pPr>
      <w:r>
        <w:rPr>
          <w:rFonts w:ascii="Arial Unicode MS" w:cs="Arial Unicode MS" w:hAnsi="Arial Unicode MS" w:eastAsia="Arial Unicode MS" w:hint="default"/>
          <w:sz w:val="24"/>
          <w:szCs w:val="24"/>
          <w:rtl w:val="0"/>
          <w:lang w:val="ru-RU"/>
        </w:rPr>
        <w:t xml:space="preserve">Заявки на Лот </w:t>
      </w:r>
      <w:r>
        <w:rPr>
          <w:rFonts w:ascii="Calibri"/>
          <w:sz w:val="24"/>
          <w:szCs w:val="24"/>
          <w:rtl w:val="0"/>
          <w:lang w:val="ru-RU"/>
        </w:rPr>
        <w:t xml:space="preserve">1 </w:t>
      </w:r>
      <w:r>
        <w:rPr>
          <w:rFonts w:ascii="Arial Unicode MS" w:cs="Arial Unicode MS" w:hAnsi="Arial Unicode MS" w:eastAsia="Arial Unicode MS" w:hint="default"/>
          <w:sz w:val="24"/>
          <w:szCs w:val="24"/>
          <w:rtl w:val="0"/>
          <w:lang w:val="ru-RU"/>
        </w:rPr>
        <w:t>отсутствуют</w:t>
      </w:r>
      <w:r>
        <w:rPr>
          <w:rFonts w:ascii="Calibri"/>
          <w:sz w:val="24"/>
          <w:szCs w:val="24"/>
          <w:rtl w:val="0"/>
          <w:lang w:val="ru-RU"/>
        </w:rPr>
        <w:t>.</w:t>
      </w:r>
    </w:p>
    <w:p>
      <w:pPr>
        <w:pStyle w:val="Normal"/>
        <w:rPr>
          <w:sz w:val="24"/>
          <w:szCs w:val="24"/>
        </w:rPr>
      </w:pPr>
      <w:r>
        <w:rPr>
          <w:rFonts w:ascii="Calibri"/>
          <w:sz w:val="24"/>
          <w:szCs w:val="24"/>
          <w:rtl w:val="0"/>
          <w:lang w:val="ru-RU"/>
        </w:rPr>
        <w:t xml:space="preserve">                                                                                                                  </w:t>
      </w:r>
    </w:p>
    <w:p>
      <w:pPr>
        <w:pStyle w:val="Normal"/>
      </w:pPr>
      <w:r>
        <w:rPr>
          <w:sz w:val="24"/>
          <w:szCs w:val="24"/>
          <w:rtl w:val="0"/>
        </w:rPr>
        <w:br w:type="textWrapping"/>
        <w:br w:type="page"/>
      </w:r>
    </w:p>
    <w:p>
      <w:pPr>
        <w:pStyle w:val="Normal"/>
        <w:rPr>
          <w:sz w:val="24"/>
          <w:szCs w:val="24"/>
          <w:rtl w:val="0"/>
        </w:rPr>
      </w:pPr>
    </w:p>
    <w:p>
      <w:pPr>
        <w:pStyle w:val="Normal"/>
      </w:pPr>
      <w:r>
        <w:rPr>
          <w:sz w:val="24"/>
          <w:szCs w:val="24"/>
          <w:rtl w:val="0"/>
        </w:rPr>
        <w:br w:type="page"/>
      </w:r>
    </w:p>
    <w:p>
      <w:pPr>
        <w:pStyle w:val="Normal"/>
      </w:pPr>
      <w:r>
        <w:rPr>
          <w:sz w:val="24"/>
          <w:szCs w:val="24"/>
          <w:rtl w:val="0"/>
        </w:rPr>
      </w:r>
    </w:p>
    <w:sectPr>
      <w:headerReference w:type="default" r:id="rId5"/>
      <w:footerReference w:type="default" r:id="rId6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5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6">
    <w:multiLevelType w:val="multilevel"/>
    <w:styleLink w:val="List 1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7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8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9">
    <w:multiLevelType w:val="multilevel"/>
    <w:styleLink w:val="List 2"/>
    <w:lvl w:ilvl="0">
      <w:start w:val="2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character" w:styleId="Hyperlink.0">
    <w:name w:val="Hyperlink.0"/>
    <w:basedOn w:val="Hyperlink"/>
    <w:next w:val="Hyperlink.0"/>
    <w:rPr>
      <w:u w:val="single"/>
    </w:rPr>
  </w:style>
  <w:style w:type="numbering" w:styleId="List 1">
    <w:name w:val="List 1"/>
    <w:basedOn w:val="Импортированный стиль 2"/>
    <w:next w:val="List 1"/>
    <w:pPr>
      <w:numPr>
        <w:numId w:val="5"/>
      </w:numPr>
    </w:pPr>
  </w:style>
  <w:style w:type="numbering" w:styleId="Импортированный стиль 2">
    <w:name w:val="Импортированный стиль 2"/>
    <w:next w:val="Импортированный стиль 2"/>
    <w:pPr>
      <w:numPr>
        <w:numId w:val="6"/>
      </w:numPr>
    </w:pPr>
  </w:style>
  <w:style w:type="numbering" w:styleId="List 2">
    <w:name w:val="List 2"/>
    <w:basedOn w:val="Импортированный стиль 3"/>
    <w:next w:val="List 2"/>
    <w:pPr>
      <w:numPr>
        <w:numId w:val="8"/>
      </w:numPr>
    </w:pPr>
  </w:style>
  <w:style w:type="numbering" w:styleId="Импортированный стиль 3">
    <w:name w:val="Импортированный стиль 3"/>
    <w:next w:val="Импортированный стиль 3"/>
    <w:pPr>
      <w:numPr>
        <w:numId w:val="9"/>
      </w:numPr>
    </w:pPr>
  </w:style>
  <w:style w:type="paragraph" w:styleId="Текстовый блок A">
    <w:name w:val="Текстовый блок A"/>
    <w:next w:val="Текстовый блок A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mailto:mail@tsep.me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