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 A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Протокол о результатах проведения открытых торгов </w:t>
      </w:r>
      <w:r>
        <w:rPr>
          <w:sz w:val="24"/>
          <w:szCs w:val="24"/>
          <w:rtl w:val="0"/>
          <w:lang w:val="ru-RU"/>
        </w:rPr>
        <w:t>с закрытой формой подачи предложения о цене</w:t>
      </w:r>
      <w:r>
        <w:rPr>
          <w:sz w:val="24"/>
          <w:szCs w:val="24"/>
          <w:rtl w:val="0"/>
          <w:lang w:val="ru-RU"/>
        </w:rPr>
        <w:t xml:space="preserve"> 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00027.</w:t>
      </w:r>
    </w:p>
    <w:p>
      <w:pPr>
        <w:pStyle w:val="List Paragraph"/>
        <w:widowControl w:val="0"/>
        <w:numPr>
          <w:ilvl w:val="0"/>
          <w:numId w:val="3"/>
        </w:numPr>
        <w:tabs>
          <w:tab w:val="num" w:pos="615"/>
          <w:tab w:val="left" w:pos="638"/>
          <w:tab w:val="left" w:pos="663"/>
          <w:tab w:val="left" w:pos="690"/>
        </w:tabs>
        <w:ind w:left="615" w:hanging="255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И</w:t>
      </w:r>
      <w:r>
        <w:rPr>
          <w:sz w:val="24"/>
          <w:szCs w:val="24"/>
          <w:rtl w:val="0"/>
          <w:lang w:val="ru-RU"/>
        </w:rPr>
        <w:t>нформация об открытых торгах с закрытой формой подачи предложения о цене 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00027.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76"/>
        <w:gridCol w:w="7195"/>
      </w:tblGrid>
      <w:tr>
        <w:tblPrEx>
          <w:shd w:val="clear" w:color="auto" w:fill="auto"/>
        </w:tblPrEx>
        <w:trPr>
          <w:trHeight w:val="35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131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Закрытая</w:t>
            </w:r>
          </w:p>
        </w:tc>
      </w:tr>
      <w:tr>
        <w:tblPrEx>
          <w:shd w:val="clear" w:color="auto" w:fill="auto"/>
        </w:tblPrEx>
        <w:trPr>
          <w:trHeight w:val="129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Открытые торги по реализации имущества ООО «ЗерноТрейдТранс»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ИНН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ОГРН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:</w:t>
              <w:tab/>
              <w:t xml:space="preserve">5612067032/1085658018841)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с закрытой формой представления предложений о цене</w:t>
            </w:r>
          </w:p>
        </w:tc>
      </w:tr>
      <w:tr>
        <w:tblPrEx>
          <w:shd w:val="clear" w:color="auto" w:fill="auto"/>
        </w:tblPrEx>
        <w:trPr>
          <w:trHeight w:val="129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Открытые торги по реализации имущества ООО «ЗерноТрейдТранс»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ИНН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ОГРН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:</w:t>
              <w:tab/>
              <w:t xml:space="preserve">5612067032/1085658018841)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с закрытой формой представления предложений о цене</w:t>
            </w:r>
          </w:p>
        </w:tc>
      </w:tr>
      <w:tr>
        <w:tblPrEx>
          <w:shd w:val="clear" w:color="auto" w:fill="auto"/>
        </w:tblPrEx>
        <w:trPr>
          <w:trHeight w:val="1683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Победителем электронных торгов по продаже имущества должника посредством закрытого аукциона признается участник открытых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31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[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4"/>
                  <w:szCs w:val="24"/>
                  <w:u w:val="single" w:color="000000"/>
                  <w:vertAlign w:val="baseline"/>
                  <w:rtl w:val="0"/>
                  <w:lang w:val="de-DE"/>
                </w:rPr>
                <w:t>http://eurtp.ru/</w:t>
              </w:r>
            </w:hyperlink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auto"/>
        </w:tblPrEx>
        <w:trPr>
          <w:trHeight w:val="99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29.05.2017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8:00</w:t>
            </w:r>
          </w:p>
        </w:tc>
      </w:tr>
      <w:tr>
        <w:tblPrEx>
          <w:shd w:val="clear" w:color="auto" w:fill="auto"/>
        </w:tblPrEx>
        <w:trPr>
          <w:trHeight w:val="99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05.07.2017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auto"/>
        </w:tblPrEx>
        <w:trPr>
          <w:trHeight w:val="195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27.05.2017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63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24.05.2017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95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26.05.2017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tabs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0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3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List Paragraph"/>
        <w:spacing w:line="240" w:lineRule="auto"/>
        <w:ind w:left="1068" w:firstLine="0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6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01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КПП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645201001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69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410005,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Разина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., 78</w:t>
            </w:r>
          </w:p>
        </w:tc>
      </w:tr>
    </w:tbl>
    <w:p>
      <w:pPr>
        <w:pStyle w:val="List Paragraph"/>
        <w:widowControl w:val="0"/>
        <w:numPr>
          <w:ilvl w:val="0"/>
          <w:numId w:val="17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20"/>
        </w:numPr>
        <w:tabs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23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26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29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Овчинникова Наиля  Равильевна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632300009300</w:t>
            </w:r>
          </w:p>
        </w:tc>
      </w:tr>
      <w:tr>
        <w:tblPrEx>
          <w:shd w:val="clear" w:color="auto" w:fill="auto"/>
        </w:tblPrEx>
        <w:trPr>
          <w:trHeight w:val="128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Саморегулируемая межрегиональная общественная организация «Ассоциация антикризисных управляющих»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3626</w:t>
            </w:r>
          </w:p>
        </w:tc>
      </w:tr>
    </w:tbl>
    <w:p>
      <w:pPr>
        <w:pStyle w:val="List Paragraph"/>
        <w:widowControl w:val="0"/>
        <w:numPr>
          <w:ilvl w:val="0"/>
          <w:numId w:val="30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33"/>
        </w:numPr>
        <w:tabs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36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39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42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64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Оренбургской области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47-7107/2014</w:t>
            </w:r>
          </w:p>
        </w:tc>
      </w:tr>
      <w:tr>
        <w:tblPrEx>
          <w:shd w:val="clear" w:color="auto" w:fill="auto"/>
        </w:tblPrEx>
        <w:trPr>
          <w:trHeight w:val="101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решение Арбитражного суда Оренбургской области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29.08.2016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делу № 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47-7107/2014</w:t>
            </w:r>
          </w:p>
        </w:tc>
      </w:tr>
    </w:tbl>
    <w:p>
      <w:pPr>
        <w:pStyle w:val="List Paragraph"/>
        <w:widowControl w:val="0"/>
        <w:numPr>
          <w:ilvl w:val="0"/>
          <w:numId w:val="43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46"/>
        </w:numPr>
        <w:tabs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49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52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55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«ЗерноТрейдТранс»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«ЗерноТрейдТранс»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5612067032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1085658018841</w:t>
            </w:r>
          </w:p>
        </w:tc>
      </w:tr>
      <w:tr>
        <w:tblPrEx>
          <w:shd w:val="clear" w:color="auto" w:fill="auto"/>
        </w:tblPrEx>
        <w:trPr>
          <w:trHeight w:val="495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List Paragraph"/>
        <w:widowControl w:val="0"/>
        <w:numPr>
          <w:ilvl w:val="0"/>
          <w:numId w:val="56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59"/>
        </w:numPr>
        <w:tabs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62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65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68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«ЦЭП»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69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72"/>
        </w:numPr>
        <w:tabs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75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78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81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Текстовый блок A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89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оформляется в форме электронного сообщения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 должна содержать сведения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соответствующие требованиям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установленным статьями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Закона 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приказом Министерства экономического развития РФ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23.07.2015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586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кадастровый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63:25:0000000:0260,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площадь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12 180 000,00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назначение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сельскохозяйственного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объекта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Самарская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Красноармейский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 землях бывшего совхоза 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кадастровой карте земель на полях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1,2,3,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участках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129, 130, 176, 184;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кадастровый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63:25:0000000:0276,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площадь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71 156 360,00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назначение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сельскохозяйственного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объекта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Самарская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Красноармейский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 землях бывшего совхоза 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91670000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auto"/>
        </w:tblPrEx>
        <w:trPr>
          <w:trHeight w:val="421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Реквизиты банковского счета для внесения задатка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получатель – ООО «ЦЭП»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АО «НВКбанк» 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6454005120/645501001,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«Задаток для участия в открытых торгах по продаже имущества ООО «ЗерноТрейдТранс»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auto"/>
        </w:tblPrEx>
        <w:trPr>
          <w:trHeight w:val="282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получатель – ООО «ЦЭП»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АО «НВКбанк» 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6454005120/645501001,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«Задаток для участия в открытых торгах по продаже имущества ООО «ЗерноТрейдТранс»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Текстовый блок A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  <w:rtl w:val="0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</w:t>
      </w:r>
    </w:p>
    <w:p>
      <w:pPr>
        <w:pStyle w:val="Текстовый блок A"/>
        <w:spacing w:line="240" w:lineRule="auto"/>
        <w:ind w:firstLine="708"/>
        <w:rPr>
          <w:sz w:val="24"/>
          <w:szCs w:val="24"/>
          <w:rtl w:val="0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  <w:rtl w:val="0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  <w:rtl w:val="0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  <w:rtl w:val="0"/>
        </w:rPr>
      </w:pPr>
    </w:p>
    <w:p>
      <w:pPr>
        <w:pStyle w:val="Текстовый блок A"/>
        <w:widowControl w:val="0"/>
        <w:spacing w:line="240" w:lineRule="auto"/>
        <w:ind w:firstLine="708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</w:t>
      </w:r>
      <w:r>
        <w:rPr>
          <w:sz w:val="24"/>
          <w:szCs w:val="24"/>
          <w:rtl w:val="0"/>
          <w:lang w:val="ru-RU"/>
        </w:rPr>
        <w:t>Предложения</w:t>
      </w:r>
    </w:p>
    <w:p>
      <w:pPr>
        <w:pStyle w:val="Текстовый блок A"/>
        <w:spacing w:line="240" w:lineRule="auto"/>
        <w:ind w:firstLine="708"/>
        <w:rPr>
          <w:sz w:val="24"/>
          <w:szCs w:val="24"/>
          <w:lang w:val="en-US"/>
        </w:rPr>
      </w:pPr>
      <w:bookmarkStart w:name="OLE_LINK11" w:id="0"/>
      <w:r>
        <w:rPr>
          <w:sz w:val="24"/>
          <w:szCs w:val="24"/>
          <w:rtl w:val="0"/>
          <w:lang w:val="ru-RU"/>
        </w:rPr>
        <w:t>Торги признаны несостоявшимся согласно п</w:t>
      </w:r>
      <w:r>
        <w:rPr>
          <w:sz w:val="24"/>
          <w:szCs w:val="24"/>
          <w:rtl w:val="0"/>
          <w:lang w:val="ru-RU"/>
        </w:rPr>
        <w:t xml:space="preserve">.17 </w:t>
      </w:r>
      <w:r>
        <w:rPr>
          <w:sz w:val="24"/>
          <w:szCs w:val="24"/>
          <w:rtl w:val="0"/>
          <w:lang w:val="ru-RU"/>
        </w:rPr>
        <w:t>ст</w:t>
      </w:r>
      <w:r>
        <w:rPr>
          <w:sz w:val="24"/>
          <w:szCs w:val="24"/>
          <w:rtl w:val="0"/>
          <w:lang w:val="ru-RU"/>
        </w:rPr>
        <w:t xml:space="preserve">.110 </w:t>
      </w:r>
      <w:r>
        <w:rPr>
          <w:sz w:val="24"/>
          <w:szCs w:val="24"/>
          <w:rtl w:val="0"/>
          <w:lang w:val="ru-RU"/>
        </w:rPr>
        <w:t>ФЗ о банкротстве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т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к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к участию в торгах был допущен только один участник </w:t>
      </w: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 xml:space="preserve">Закрытое акционерное общество </w:t>
      </w:r>
      <w:r>
        <w:rPr>
          <w:sz w:val="22"/>
          <w:szCs w:val="22"/>
          <w:rtl w:val="0"/>
          <w:lang w:val="ru-RU"/>
        </w:rPr>
        <w:t xml:space="preserve">«Агропроизводство»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ИНН</w:t>
      </w:r>
      <w:r>
        <w:rPr>
          <w:sz w:val="22"/>
          <w:szCs w:val="22"/>
          <w:rtl w:val="0"/>
          <w:lang w:val="ru-RU"/>
        </w:rPr>
        <w:t xml:space="preserve">: 6381030820, </w:t>
      </w:r>
      <w:r>
        <w:rPr>
          <w:sz w:val="22"/>
          <w:szCs w:val="22"/>
          <w:rtl w:val="0"/>
          <w:lang w:val="ru-RU"/>
        </w:rPr>
        <w:t>ОГРН</w:t>
      </w:r>
      <w:r>
        <w:rPr>
          <w:sz w:val="22"/>
          <w:szCs w:val="22"/>
          <w:rtl w:val="0"/>
          <w:lang w:val="ru-RU"/>
        </w:rPr>
        <w:t>: 1146381000182)</w:t>
      </w:r>
      <w:bookmarkEnd w:id="0"/>
    </w:p>
    <w:p>
      <w:pPr>
        <w:pStyle w:val="Текстовый блок A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 A"/>
        <w:spacing w:line="240" w:lineRule="auto"/>
        <w:ind w:firstLine="708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 </w:t>
      </w:r>
    </w:p>
    <w:p>
      <w:pPr>
        <w:pStyle w:val="Текстовый блок A"/>
        <w:spacing w:line="240" w:lineRule="auto"/>
        <w:ind w:firstLine="708"/>
        <w:rPr>
          <w:sz w:val="24"/>
          <w:szCs w:val="24"/>
          <w:lang w:val="en-US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 </w:t>
      </w:r>
    </w:p>
    <w:p>
      <w:pPr>
        <w:pStyle w:val="Текстовый блок A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  <w:r>
        <w:rPr>
          <w:rFonts w:hAnsi="Calibri" w:hint="default"/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rFonts w:ascii="Calibri"/>
          <w:sz w:val="24"/>
          <w:szCs w:val="24"/>
          <w:rtl w:val="0"/>
          <w:lang w:val="ru-RU"/>
        </w:rPr>
        <w:t xml:space="preserve">, </w:t>
      </w:r>
      <w:r>
        <w:rPr>
          <w:rFonts w:hAnsi="Calibri" w:hint="default"/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Текстовый блок A"/>
        <w:spacing w:line="240" w:lineRule="auto"/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  <w:r>
        <w:rPr>
          <w:sz w:val="24"/>
          <w:szCs w:val="24"/>
          <w:rtl w:val="0"/>
        </w:rPr>
        <w:br w:type="textWrapping"/>
        <w:br w:type="page"/>
      </w:r>
    </w:p>
    <w:p>
      <w:pPr>
        <w:pStyle w:val="Текстовый блок A"/>
        <w:spacing w:line="240" w:lineRule="auto"/>
        <w:rPr>
          <w:sz w:val="24"/>
          <w:szCs w:val="24"/>
          <w:rtl w:val="0"/>
        </w:rPr>
      </w:pPr>
    </w:p>
    <w:p>
      <w:pPr>
        <w:pStyle w:val="Текстовый блок A"/>
        <w:spacing w:line="240" w:lineRule="auto"/>
        <w:rPr>
          <w:sz w:val="24"/>
          <w:szCs w:val="24"/>
          <w:rtl w:val="0"/>
        </w:rPr>
      </w:pPr>
    </w:p>
    <w:p>
      <w:pPr>
        <w:pStyle w:val="Текстовый блок A"/>
        <w:spacing w:line="240" w:lineRule="auto"/>
      </w:pPr>
      <w:r>
        <w:rPr>
          <w:sz w:val="24"/>
          <w:szCs w:val="24"/>
          <w:rtl w:val="0"/>
        </w:rPr>
        <w:br w:type="page"/>
      </w:r>
    </w:p>
    <w:p>
      <w:pPr>
        <w:pStyle w:val="Текстовый блок A"/>
        <w:spacing w:line="240" w:lineRule="auto"/>
      </w:pPr>
      <w:r>
        <w:rPr>
          <w:sz w:val="24"/>
          <w:szCs w:val="24"/>
          <w:rtl w:val="0"/>
        </w:rPr>
      </w: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2">
    <w:multiLevelType w:val="multilevel"/>
    <w:styleLink w:val="List 3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3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5">
    <w:multiLevelType w:val="multilevel"/>
    <w:styleLink w:val="List 4"/>
    <w:lvl w:ilvl="0">
      <w:start w:val="2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16">
    <w:multiLevelType w:val="multilevel"/>
    <w:styleLink w:val="List 4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9">
    <w:multiLevelType w:val="multilevel"/>
    <w:styleLink w:val="List 5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2">
    <w:multiLevelType w:val="multilevel"/>
    <w:styleLink w:val="List 6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3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4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5">
    <w:multiLevelType w:val="multilevel"/>
    <w:styleLink w:val="List 7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6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27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8">
    <w:multiLevelType w:val="multilevel"/>
    <w:styleLink w:val="List 8"/>
    <w:lvl w:ilvl="0">
      <w:start w:val="3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29">
    <w:multiLevelType w:val="multilevel"/>
    <w:styleLink w:val="List 8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32">
    <w:multiLevelType w:val="multilevel"/>
    <w:styleLink w:val="List 9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3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4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35">
    <w:multiLevelType w:val="multilevel"/>
    <w:styleLink w:val="List 10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6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7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38">
    <w:multiLevelType w:val="multilevel"/>
    <w:styleLink w:val="List 11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9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40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41">
    <w:multiLevelType w:val="multilevel"/>
    <w:styleLink w:val="List 12"/>
    <w:lvl w:ilvl="0">
      <w:start w:val="4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42">
    <w:multiLevelType w:val="multilevel"/>
    <w:styleLink w:val="List 12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3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4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45">
    <w:multiLevelType w:val="multilevel"/>
    <w:styleLink w:val="List 13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6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7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48">
    <w:multiLevelType w:val="multilevel"/>
    <w:styleLink w:val="List 14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9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50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51">
    <w:multiLevelType w:val="multilevel"/>
    <w:styleLink w:val="List 15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5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5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54">
    <w:multiLevelType w:val="multilevel"/>
    <w:styleLink w:val="List 16"/>
    <w:lvl w:ilvl="0">
      <w:start w:val="5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55">
    <w:multiLevelType w:val="multilevel"/>
    <w:styleLink w:val="List 16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56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57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58">
    <w:multiLevelType w:val="multilevel"/>
    <w:styleLink w:val="List 17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59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60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1">
    <w:multiLevelType w:val="multilevel"/>
    <w:styleLink w:val="List 18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6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6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4">
    <w:multiLevelType w:val="multilevel"/>
    <w:styleLink w:val="List 19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65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66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7">
    <w:multiLevelType w:val="multilevel"/>
    <w:styleLink w:val="List 20"/>
    <w:lvl w:ilvl="0">
      <w:start w:val="6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68">
    <w:multiLevelType w:val="multilevel"/>
    <w:styleLink w:val="List 20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69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70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71">
    <w:multiLevelType w:val="multilevel"/>
    <w:styleLink w:val="List 21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7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7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74">
    <w:multiLevelType w:val="multilevel"/>
    <w:styleLink w:val="List 22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75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76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77">
    <w:multiLevelType w:val="multilevel"/>
    <w:styleLink w:val="List 23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7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7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80">
    <w:multiLevelType w:val="multilevel"/>
    <w:styleLink w:val="List 24"/>
    <w:lvl w:ilvl="0">
      <w:start w:val="7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 A">
    <w:name w:val="Текстовый блок A"/>
    <w:next w:val="Текстовый блок A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single" w:color="000000"/>
      <w:vertAlign w:val="baseline"/>
      <w:lang w:val="de-DE"/>
    </w:r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  <w:style w:type="numbering" w:styleId="List 3">
    <w:name w:val="List 3"/>
    <w:basedOn w:val="Импортированный стиль 4"/>
    <w:next w:val="List 3"/>
    <w:pPr>
      <w:numPr>
        <w:numId w:val="11"/>
      </w:numPr>
    </w:pPr>
  </w:style>
  <w:style w:type="numbering" w:styleId="Импортированный стиль 4">
    <w:name w:val="Импортированный стиль 4"/>
    <w:next w:val="Импортированный стиль 4"/>
    <w:pPr>
      <w:numPr>
        <w:numId w:val="12"/>
      </w:numPr>
    </w:pPr>
  </w:style>
  <w:style w:type="numbering" w:styleId="List 4">
    <w:name w:val="List 4"/>
    <w:basedOn w:val="Импортированный стиль 5"/>
    <w:next w:val="List 4"/>
    <w:pPr>
      <w:numPr>
        <w:numId w:val="14"/>
      </w:numPr>
    </w:pPr>
  </w:style>
  <w:style w:type="numbering" w:styleId="Импортированный стиль 5">
    <w:name w:val="Импортированный стиль 5"/>
    <w:next w:val="Импортированный стиль 5"/>
    <w:pPr>
      <w:numPr>
        <w:numId w:val="15"/>
      </w:numPr>
    </w:pPr>
  </w:style>
  <w:style w:type="numbering" w:styleId="List 5">
    <w:name w:val="List 5"/>
    <w:basedOn w:val="Импортированный стиль 6"/>
    <w:next w:val="List 5"/>
    <w:pPr>
      <w:numPr>
        <w:numId w:val="18"/>
      </w:numPr>
    </w:pPr>
  </w:style>
  <w:style w:type="numbering" w:styleId="Импортированный стиль 6">
    <w:name w:val="Импортированный стиль 6"/>
    <w:next w:val="Импортированный стиль 6"/>
    <w:pPr>
      <w:numPr>
        <w:numId w:val="19"/>
      </w:numPr>
    </w:pPr>
  </w:style>
  <w:style w:type="numbering" w:styleId="List 6">
    <w:name w:val="List 6"/>
    <w:basedOn w:val="Импортированный стиль 7"/>
    <w:next w:val="List 6"/>
    <w:pPr>
      <w:numPr>
        <w:numId w:val="21"/>
      </w:numPr>
    </w:pPr>
  </w:style>
  <w:style w:type="numbering" w:styleId="Импортированный стиль 7">
    <w:name w:val="Импортированный стиль 7"/>
    <w:next w:val="Импортированный стиль 7"/>
    <w:pPr>
      <w:numPr>
        <w:numId w:val="22"/>
      </w:numPr>
    </w:pPr>
  </w:style>
  <w:style w:type="numbering" w:styleId="List 7">
    <w:name w:val="List 7"/>
    <w:basedOn w:val="Импортированный стиль 8"/>
    <w:next w:val="List 7"/>
    <w:pPr>
      <w:numPr>
        <w:numId w:val="24"/>
      </w:numPr>
    </w:pPr>
  </w:style>
  <w:style w:type="numbering" w:styleId="Импортированный стиль 8">
    <w:name w:val="Импортированный стиль 8"/>
    <w:next w:val="Импортированный стиль 8"/>
    <w:pPr>
      <w:numPr>
        <w:numId w:val="25"/>
      </w:numPr>
    </w:pPr>
  </w:style>
  <w:style w:type="numbering" w:styleId="List 8">
    <w:name w:val="List 8"/>
    <w:basedOn w:val="Импортированный стиль 9"/>
    <w:next w:val="List 8"/>
    <w:pPr>
      <w:numPr>
        <w:numId w:val="27"/>
      </w:numPr>
    </w:pPr>
  </w:style>
  <w:style w:type="numbering" w:styleId="Импортированный стиль 9">
    <w:name w:val="Импортированный стиль 9"/>
    <w:next w:val="Импортированный стиль 9"/>
    <w:pPr>
      <w:numPr>
        <w:numId w:val="28"/>
      </w:numPr>
    </w:pPr>
  </w:style>
  <w:style w:type="numbering" w:styleId="List 9">
    <w:name w:val="List 9"/>
    <w:basedOn w:val="Импортированный стиль 10"/>
    <w:next w:val="List 9"/>
    <w:pPr>
      <w:numPr>
        <w:numId w:val="31"/>
      </w:numPr>
    </w:pPr>
  </w:style>
  <w:style w:type="numbering" w:styleId="Импортированный стиль 10">
    <w:name w:val="Импортированный стиль 10"/>
    <w:next w:val="Импортированный стиль 10"/>
    <w:pPr>
      <w:numPr>
        <w:numId w:val="32"/>
      </w:numPr>
    </w:pPr>
  </w:style>
  <w:style w:type="numbering" w:styleId="List 10">
    <w:name w:val="List 10"/>
    <w:basedOn w:val="Импортированный стиль 11"/>
    <w:next w:val="List 10"/>
    <w:pPr>
      <w:numPr>
        <w:numId w:val="34"/>
      </w:numPr>
    </w:pPr>
  </w:style>
  <w:style w:type="numbering" w:styleId="Импортированный стиль 11">
    <w:name w:val="Импортированный стиль 11"/>
    <w:next w:val="Импортированный стиль 11"/>
    <w:pPr>
      <w:numPr>
        <w:numId w:val="35"/>
      </w:numPr>
    </w:pPr>
  </w:style>
  <w:style w:type="numbering" w:styleId="List 11">
    <w:name w:val="List 11"/>
    <w:basedOn w:val="Импортированный стиль 12"/>
    <w:next w:val="List 11"/>
    <w:pPr>
      <w:numPr>
        <w:numId w:val="37"/>
      </w:numPr>
    </w:pPr>
  </w:style>
  <w:style w:type="numbering" w:styleId="Импортированный стиль 12">
    <w:name w:val="Импортированный стиль 12"/>
    <w:next w:val="Импортированный стиль 12"/>
    <w:pPr>
      <w:numPr>
        <w:numId w:val="38"/>
      </w:numPr>
    </w:pPr>
  </w:style>
  <w:style w:type="numbering" w:styleId="List 12">
    <w:name w:val="List 12"/>
    <w:basedOn w:val="Импортированный стиль 13"/>
    <w:next w:val="List 12"/>
    <w:pPr>
      <w:numPr>
        <w:numId w:val="40"/>
      </w:numPr>
    </w:pPr>
  </w:style>
  <w:style w:type="numbering" w:styleId="Импортированный стиль 13">
    <w:name w:val="Импортированный стиль 13"/>
    <w:next w:val="Импортированный стиль 13"/>
    <w:pPr>
      <w:numPr>
        <w:numId w:val="41"/>
      </w:numPr>
    </w:pPr>
  </w:style>
  <w:style w:type="numbering" w:styleId="List 13">
    <w:name w:val="List 13"/>
    <w:basedOn w:val="Импортированный стиль 14"/>
    <w:next w:val="List 13"/>
    <w:pPr>
      <w:numPr>
        <w:numId w:val="44"/>
      </w:numPr>
    </w:pPr>
  </w:style>
  <w:style w:type="numbering" w:styleId="Импортированный стиль 14">
    <w:name w:val="Импортированный стиль 14"/>
    <w:next w:val="Импортированный стиль 14"/>
    <w:pPr>
      <w:numPr>
        <w:numId w:val="45"/>
      </w:numPr>
    </w:pPr>
  </w:style>
  <w:style w:type="numbering" w:styleId="List 14">
    <w:name w:val="List 14"/>
    <w:basedOn w:val="Импортированный стиль 15"/>
    <w:next w:val="List 14"/>
    <w:pPr>
      <w:numPr>
        <w:numId w:val="47"/>
      </w:numPr>
    </w:pPr>
  </w:style>
  <w:style w:type="numbering" w:styleId="Импортированный стиль 15">
    <w:name w:val="Импортированный стиль 15"/>
    <w:next w:val="Импортированный стиль 15"/>
    <w:pPr>
      <w:numPr>
        <w:numId w:val="48"/>
      </w:numPr>
    </w:pPr>
  </w:style>
  <w:style w:type="numbering" w:styleId="List 15">
    <w:name w:val="List 15"/>
    <w:basedOn w:val="Импортированный стиль 16"/>
    <w:next w:val="List 15"/>
    <w:pPr>
      <w:numPr>
        <w:numId w:val="50"/>
      </w:numPr>
    </w:pPr>
  </w:style>
  <w:style w:type="numbering" w:styleId="Импортированный стиль 16">
    <w:name w:val="Импортированный стиль 16"/>
    <w:next w:val="Импортированный стиль 16"/>
    <w:pPr>
      <w:numPr>
        <w:numId w:val="51"/>
      </w:numPr>
    </w:pPr>
  </w:style>
  <w:style w:type="numbering" w:styleId="List 16">
    <w:name w:val="List 16"/>
    <w:basedOn w:val="Импортированный стиль 17"/>
    <w:next w:val="List 16"/>
    <w:pPr>
      <w:numPr>
        <w:numId w:val="53"/>
      </w:numPr>
    </w:pPr>
  </w:style>
  <w:style w:type="numbering" w:styleId="Импортированный стиль 17">
    <w:name w:val="Импортированный стиль 17"/>
    <w:next w:val="Импортированный стиль 17"/>
    <w:pPr>
      <w:numPr>
        <w:numId w:val="54"/>
      </w:numPr>
    </w:pPr>
  </w:style>
  <w:style w:type="numbering" w:styleId="List 17">
    <w:name w:val="List 17"/>
    <w:basedOn w:val="Импортированный стиль 18"/>
    <w:next w:val="List 17"/>
    <w:pPr>
      <w:numPr>
        <w:numId w:val="57"/>
      </w:numPr>
    </w:pPr>
  </w:style>
  <w:style w:type="numbering" w:styleId="Импортированный стиль 18">
    <w:name w:val="Импортированный стиль 18"/>
    <w:next w:val="Импортированный стиль 18"/>
    <w:pPr>
      <w:numPr>
        <w:numId w:val="58"/>
      </w:numPr>
    </w:pPr>
  </w:style>
  <w:style w:type="numbering" w:styleId="List 18">
    <w:name w:val="List 18"/>
    <w:basedOn w:val="Импортированный стиль 19"/>
    <w:next w:val="List 18"/>
    <w:pPr>
      <w:numPr>
        <w:numId w:val="60"/>
      </w:numPr>
    </w:pPr>
  </w:style>
  <w:style w:type="numbering" w:styleId="Импортированный стиль 19">
    <w:name w:val="Импортированный стиль 19"/>
    <w:next w:val="Импортированный стиль 19"/>
    <w:pPr>
      <w:numPr>
        <w:numId w:val="61"/>
      </w:numPr>
    </w:pPr>
  </w:style>
  <w:style w:type="numbering" w:styleId="List 19">
    <w:name w:val="List 19"/>
    <w:basedOn w:val="Импортированный стиль 20"/>
    <w:next w:val="List 19"/>
    <w:pPr>
      <w:numPr>
        <w:numId w:val="63"/>
      </w:numPr>
    </w:pPr>
  </w:style>
  <w:style w:type="numbering" w:styleId="Импортированный стиль 20">
    <w:name w:val="Импортированный стиль 20"/>
    <w:next w:val="Импортированный стиль 20"/>
    <w:pPr>
      <w:numPr>
        <w:numId w:val="64"/>
      </w:numPr>
    </w:pPr>
  </w:style>
  <w:style w:type="numbering" w:styleId="List 20">
    <w:name w:val="List 20"/>
    <w:basedOn w:val="Импортированный стиль 21"/>
    <w:next w:val="List 20"/>
    <w:pPr>
      <w:numPr>
        <w:numId w:val="66"/>
      </w:numPr>
    </w:pPr>
  </w:style>
  <w:style w:type="numbering" w:styleId="Импортированный стиль 21">
    <w:name w:val="Импортированный стиль 21"/>
    <w:next w:val="Импортированный стиль 21"/>
    <w:pPr>
      <w:numPr>
        <w:numId w:val="67"/>
      </w:numPr>
    </w:pPr>
  </w:style>
  <w:style w:type="numbering" w:styleId="List 21">
    <w:name w:val="List 21"/>
    <w:basedOn w:val="Импортированный стиль 22"/>
    <w:next w:val="List 21"/>
    <w:pPr>
      <w:numPr>
        <w:numId w:val="70"/>
      </w:numPr>
    </w:pPr>
  </w:style>
  <w:style w:type="numbering" w:styleId="Импортированный стиль 22">
    <w:name w:val="Импортированный стиль 22"/>
    <w:next w:val="Импортированный стиль 22"/>
    <w:pPr>
      <w:numPr>
        <w:numId w:val="71"/>
      </w:numPr>
    </w:pPr>
  </w:style>
  <w:style w:type="numbering" w:styleId="List 22">
    <w:name w:val="List 22"/>
    <w:basedOn w:val="Импортированный стиль 23"/>
    <w:next w:val="List 22"/>
    <w:pPr>
      <w:numPr>
        <w:numId w:val="73"/>
      </w:numPr>
    </w:pPr>
  </w:style>
  <w:style w:type="numbering" w:styleId="Импортированный стиль 23">
    <w:name w:val="Импортированный стиль 23"/>
    <w:next w:val="Импортированный стиль 23"/>
    <w:pPr>
      <w:numPr>
        <w:numId w:val="74"/>
      </w:numPr>
    </w:pPr>
  </w:style>
  <w:style w:type="numbering" w:styleId="List 23">
    <w:name w:val="List 23"/>
    <w:basedOn w:val="Импортированный стиль 24"/>
    <w:next w:val="List 23"/>
    <w:pPr>
      <w:numPr>
        <w:numId w:val="76"/>
      </w:numPr>
    </w:pPr>
  </w:style>
  <w:style w:type="numbering" w:styleId="Импортированный стиль 24">
    <w:name w:val="Импортированный стиль 24"/>
    <w:next w:val="Импортированный стиль 24"/>
    <w:pPr>
      <w:numPr>
        <w:numId w:val="77"/>
      </w:numPr>
    </w:pPr>
  </w:style>
  <w:style w:type="numbering" w:styleId="List 24">
    <w:name w:val="List 24"/>
    <w:basedOn w:val="Импортированный стиль 25"/>
    <w:next w:val="List 24"/>
    <w:pPr>
      <w:numPr>
        <w:numId w:val="79"/>
      </w:numPr>
    </w:pPr>
  </w:style>
  <w:style w:type="numbering" w:styleId="Импортированный стиль 25">
    <w:name w:val="Импортированный стиль 25"/>
    <w:next w:val="Импортированный стиль 25"/>
    <w:pPr>
      <w:numPr>
        <w:numId w:val="80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http://eurtp.ru/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