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по аукциону № АЗ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00024.</w:t>
      </w:r>
    </w:p>
    <w:p>
      <w:pPr>
        <w:pStyle w:val="List Paragraph"/>
        <w:widowControl w:val="0"/>
        <w:numPr>
          <w:ilvl w:val="0"/>
          <w:numId w:val="3"/>
        </w:numPr>
        <w:tabs>
          <w:tab w:val="num" w:pos="663"/>
          <w:tab w:val="left" w:pos="690"/>
        </w:tabs>
        <w:ind w:left="663" w:hanging="303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Информация о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/</w:t>
      </w:r>
      <w:r>
        <w:rPr>
          <w:sz w:val="24"/>
          <w:szCs w:val="24"/>
          <w:rtl w:val="0"/>
          <w:lang w:val="ru-RU"/>
        </w:rPr>
        <w:t>об закрытом аукционе</w:t>
      </w:r>
      <w:r>
        <w:rPr>
          <w:rFonts w:ascii="Calibri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sz w:val="24"/>
          <w:szCs w:val="24"/>
          <w:rtl w:val="0"/>
          <w:lang w:val="ru-RU"/>
        </w:rPr>
        <w:t xml:space="preserve"> № АЗ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00024.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376"/>
        <w:gridCol w:w="7195"/>
      </w:tblGrid>
      <w:tr>
        <w:tblPrEx>
          <w:shd w:val="clear" w:color="auto" w:fill="auto"/>
        </w:tblPrEx>
        <w:trPr>
          <w:trHeight w:val="33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auto"/>
        </w:tblPrEx>
        <w:trPr>
          <w:trHeight w:val="129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Закрытая</w:t>
            </w:r>
          </w:p>
        </w:tc>
      </w:tr>
      <w:tr>
        <w:tblPrEx>
          <w:shd w:val="clear" w:color="auto" w:fill="auto"/>
        </w:tblPrEx>
        <w:trPr>
          <w:trHeight w:val="65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«Торги в форме закрытого аукциона по продаже имущества 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auto"/>
        </w:tblPrEx>
        <w:trPr>
          <w:trHeight w:val="1023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Открытые торги по реализации имущества ООО «Заречье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-2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» с закрытой формой представления предложений о цене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663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Победителем электронных торгов по продаже имущества должника посредством закрытого аукциона признается участник открытых торгов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который предложил наибольшую цену за выставленное организатором торгов имущество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129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[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hyperlink r:id="rId4" w:history="1">
              <w:r>
                <w:rPr>
                  <w:rStyle w:val="Hyperlink.0"/>
                  <w:rFonts w:ascii="Calibri"/>
                  <w:caps w:val="0"/>
                  <w:smallCaps w:val="0"/>
                  <w:strike w:val="0"/>
                  <w:dstrike w:val="0"/>
                  <w:outline w:val="0"/>
                  <w:color w:val="000000"/>
                  <w:spacing w:val="0"/>
                  <w:kern w:val="0"/>
                  <w:position w:val="0"/>
                  <w:sz w:val="24"/>
                  <w:szCs w:val="24"/>
                  <w:u w:val="single" w:color="000000"/>
                  <w:vertAlign w:val="baseline"/>
                  <w:rtl w:val="0"/>
                  <w:lang w:val="de-DE"/>
                </w:rPr>
                <w:t>http://eurtp.ru/</w:t>
              </w:r>
            </w:hyperlink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auto"/>
        </w:tblPrEx>
        <w:trPr>
          <w:trHeight w:val="97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24.04.2017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8:00</w:t>
            </w:r>
          </w:p>
        </w:tc>
      </w:tr>
      <w:tr>
        <w:tblPrEx>
          <w:shd w:val="clear" w:color="auto" w:fill="auto"/>
        </w:tblPrEx>
        <w:trPr>
          <w:trHeight w:val="97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07.06.2017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auto"/>
        </w:tblPrEx>
        <w:trPr>
          <w:trHeight w:val="193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22.04.2017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auto"/>
        </w:tblPrEx>
        <w:trPr>
          <w:trHeight w:val="161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auto"/>
        </w:tblPrEx>
        <w:trPr>
          <w:trHeight w:val="1930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20.04.2017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0:00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63"/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7"/>
        </w:numPr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List Paragraph"/>
        <w:spacing w:line="240" w:lineRule="auto"/>
        <w:ind w:left="1068" w:firstLine="0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0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101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ЦЭП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КПП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645201001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69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Юридический адрес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410005,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Разина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., 78</w:t>
            </w:r>
          </w:p>
        </w:tc>
      </w:tr>
    </w:tbl>
    <w:p>
      <w:pPr>
        <w:pStyle w:val="List Paragraph"/>
        <w:widowControl w:val="0"/>
        <w:numPr>
          <w:ilvl w:val="0"/>
          <w:numId w:val="11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14"/>
        </w:numPr>
        <w:spacing w:line="240" w:lineRule="auto"/>
        <w:ind w:left="690" w:hanging="330"/>
        <w:rPr>
          <w:position w:val="0"/>
          <w:sz w:val="24"/>
          <w:szCs w:val="24"/>
          <w:rtl w:val="0"/>
        </w:rPr>
      </w:pPr>
    </w:p>
    <w:p>
      <w:pPr>
        <w:pStyle w:val="Текстовый блок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7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Беспалов Алексей Павлович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632500231887</w:t>
            </w:r>
          </w:p>
        </w:tc>
      </w:tr>
      <w:tr>
        <w:tblPrEx>
          <w:shd w:val="clear" w:color="auto" w:fill="auto"/>
        </w:tblPrEx>
        <w:trPr>
          <w:trHeight w:val="165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САМРО «Ассоциация антикризисных управляющих»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Саморегулируемая межрегиональная общественная организация «Ассоциация антикризисных управляющих»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516</w:t>
            </w:r>
          </w:p>
        </w:tc>
      </w:tr>
    </w:tbl>
    <w:p>
      <w:pPr>
        <w:pStyle w:val="List Paragraph"/>
        <w:widowControl w:val="0"/>
        <w:numPr>
          <w:ilvl w:val="0"/>
          <w:numId w:val="18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21"/>
        </w:numPr>
        <w:spacing w:line="240" w:lineRule="auto"/>
        <w:ind w:left="690" w:hanging="330"/>
        <w:rPr>
          <w:position w:val="0"/>
          <w:sz w:val="24"/>
          <w:szCs w:val="24"/>
          <w:rtl w:val="0"/>
        </w:rPr>
      </w:pPr>
    </w:p>
    <w:p>
      <w:pPr>
        <w:pStyle w:val="Текстовый блок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24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Арбитражный суд Самарской области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55-1818/2014</w:t>
            </w:r>
          </w:p>
        </w:tc>
      </w:tr>
      <w:tr>
        <w:tblPrEx>
          <w:shd w:val="clear" w:color="auto" w:fill="auto"/>
        </w:tblPrEx>
        <w:trPr>
          <w:trHeight w:val="1013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Решение Арбитражного суда Самарской области 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24.11.2014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 делу №А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55-1818/2014</w:t>
            </w:r>
          </w:p>
        </w:tc>
      </w:tr>
    </w:tbl>
    <w:p>
      <w:pPr>
        <w:pStyle w:val="List Paragraph"/>
        <w:widowControl w:val="0"/>
        <w:numPr>
          <w:ilvl w:val="0"/>
          <w:numId w:val="25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28"/>
        </w:numPr>
        <w:spacing w:line="240" w:lineRule="auto"/>
        <w:ind w:left="690" w:hanging="330"/>
        <w:rPr>
          <w:position w:val="0"/>
          <w:sz w:val="24"/>
          <w:szCs w:val="24"/>
          <w:rtl w:val="0"/>
        </w:rPr>
      </w:pPr>
    </w:p>
    <w:p>
      <w:pPr>
        <w:pStyle w:val="Текстовый блок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1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auto"/>
        </w:tblPrEx>
        <w:trPr>
          <w:trHeight w:val="64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6375004727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1026303781294</w:t>
            </w:r>
          </w:p>
        </w:tc>
      </w:tr>
      <w:tr>
        <w:tblPrEx>
          <w:shd w:val="clear" w:color="auto" w:fill="auto"/>
        </w:tblPrEx>
        <w:trPr>
          <w:trHeight w:val="4959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</w:tbl>
    <w:p>
      <w:pPr>
        <w:pStyle w:val="List Paragraph"/>
        <w:widowControl w:val="0"/>
        <w:numPr>
          <w:ilvl w:val="0"/>
          <w:numId w:val="32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35"/>
        </w:numPr>
        <w:spacing w:line="240" w:lineRule="auto"/>
        <w:ind w:left="690" w:hanging="330"/>
        <w:rPr>
          <w:position w:val="0"/>
          <w:sz w:val="24"/>
          <w:szCs w:val="24"/>
          <w:rtl w:val="0"/>
        </w:rPr>
      </w:pPr>
    </w:p>
    <w:p>
      <w:pPr>
        <w:pStyle w:val="Текстовый блок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8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ЦЭП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9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</w:p>
    <w:p>
      <w:pPr>
        <w:pStyle w:val="List Paragraph"/>
        <w:widowControl w:val="0"/>
        <w:numPr>
          <w:ilvl w:val="0"/>
          <w:numId w:val="42"/>
        </w:numPr>
        <w:spacing w:line="240" w:lineRule="auto"/>
        <w:ind w:left="690" w:hanging="330"/>
        <w:rPr>
          <w:position w:val="0"/>
          <w:sz w:val="24"/>
          <w:szCs w:val="24"/>
          <w:rtl w:val="0"/>
        </w:rPr>
      </w:pPr>
    </w:p>
    <w:p>
      <w:pPr>
        <w:pStyle w:val="Текстовый блок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45"/>
        </w:numPr>
        <w:tabs>
          <w:tab w:val="num" w:pos="663"/>
          <w:tab w:val="left" w:pos="690"/>
        </w:tabs>
        <w:bidi w:val="0"/>
        <w:spacing w:line="240" w:lineRule="auto"/>
        <w:ind w:left="663" w:right="0" w:hanging="303"/>
        <w:jc w:val="left"/>
        <w:rPr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Текстовый блок"/>
        <w:widowControl w:val="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389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оформления участия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Заявка на участие в торгах оформляется в форме электронного сообщения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 должна содержать сведения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соответствующие требованиям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установленным статьями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110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139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Закона о несостоятельности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банкротстве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и приказом Министерства экономического развития РФ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495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от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23.07.2015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auto"/>
        </w:tblPrEx>
        <w:trPr>
          <w:trHeight w:val="1441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Сведения об имуществе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его составе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описание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Поголовье КРС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Телки черно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пестрые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2015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(33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Телки черно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пестрые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2014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(86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.);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Телки черно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пестрые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2013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года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(60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);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Недвиж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имущество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265,1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63:25:0604002:306;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гаража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174,7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63:25:0606002:64;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ЗАВ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-20, 78,6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 63:25:0000000:1422;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конторы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48,4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63:25:0606002:59;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столовой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106,2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63:25:0606002:63;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ЗАВ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-20, 92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63:25:0000000:62;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весовой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18,6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63:25:0606002:56;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осеменаторской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190,4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63:25:0606002:57;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сепаратора зерна гравитационного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60,9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63:25:0606002:65;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Зание телятника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1, 721,2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63:25:0604002:307;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ремонтной мастерской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506,6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63:25:0606002:60;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 столовой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129,9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63:25:0601018:972;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конторы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93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63:25:0606002:52;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зерносклада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870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63:25:0601011:72;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конторы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54,8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63:25:0601011:69;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продовольственного склада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70,8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63:25:0601018:974;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пилорамы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77,3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63:25:0601011:73;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телятника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9, 564,3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63:25:0606002:43;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банкетного зала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149,7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63:25:0604002:295;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столовой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113,4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63:25:0606002:38;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Нежилое здание резинотехнических изделий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394,4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63:25:0604002:312;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Кошара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4, 1249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63:25:0605016:27;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Летний лагерь КРС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251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63:25:0000000:1027;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Картофелехранилище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2, 986,5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63:25:0601011:62;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Картофелехранилище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1, 986,5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63:25:0601011:63;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Кошара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6, 792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63:25:0605015:11;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Кошара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5, 792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63:25:0605015:12;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Кошара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1, 792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63:25:0605015:14;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Кошара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7, 792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63:25:0605015:10;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Кошара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2, 792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63:25:0605015:13;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Кошара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3, 792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63:25:0605015:15;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Здание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1002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63:25:0601011:66;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 для общественно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деловых целей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516,47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63:25:0604002:0010,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 для животноводства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4341,76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63:25:0601016:0010,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 для общественно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деловых целей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409,09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63:25:0602001:0026,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 для животноводства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315,85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63:25:0601016:0010,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183,19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63:25:0601016:0021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260,6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63:25:0605016:0008,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Софинский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314,1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63:25:0606002:0012,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Софинский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318,81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поселений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63:25:0601018:0477,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Кочетковский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396,8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63:25:0606002:0008;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172,36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63:25:0601018:0478,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Кочетковский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99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поселений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63:25:0606003:0045,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Софинский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249,9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поселений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63:25:0606003:0075,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Софинский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657,16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63:25:0601020:0005,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Кочетковский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251,45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поселений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63:25:0601011:0034,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251,45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поселений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63:25:0601011:0026,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140,35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поселений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63:25:0601011:0029,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80,93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поселений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63:25:0602001:0508,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1022,75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населенных пунктов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63:25:0601011:0031,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288,78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поселений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63:25:0604002:0139,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1678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назначение для строительства кошары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4, 63:25:0605016:24, 900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 северно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западнее 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Софинский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14400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назначение для строительства лагеря КРС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63:25:0601016:39, 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 северно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западнее 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2262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назначение для строительства картофелехранилища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63:25:0601011:55;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2068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назначение для строительства кошары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1, 63:25:0605015:9, 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 севернее 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Софинский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1997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назначение для строительства кошары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2, 63:25:0605015:7, 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 севернее 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Софинский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2018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земли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 назначение для строительства кошары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3, 63:25:0605015:7, 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 севернее 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Софинский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 под зданием пилорамы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152,62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Ленинский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стройотдел Красноармейского 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;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Самоходная техника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0915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2301AA63, 2003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ЮМЗ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2332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4238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Прицеп ПСЕ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-12,5,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7061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Прицеп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ПТС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7062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Прицеп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ПТС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7063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Прицеп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ПТС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7064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Прицеп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ПТС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7065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Прицеп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ПТС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7066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Прицеп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ПТС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7067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 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7215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7216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7228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7229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7232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7233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7234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ЮМЗ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7237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63, 2004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7253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Экскаватор ЭО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-2621,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7263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7264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7267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гусеничный 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7271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7275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7276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7277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7278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7280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Погрузчик ПК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-2202,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7351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7488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-150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7494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9211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гусеничный 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9593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гусеничный 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9594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гусеничный 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-4,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9595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63, 1999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Комбайн 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 КСК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-100,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9603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Трактор колесный МТЗ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-80,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9689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Автомобильная техника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СЗАП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8527, VIN X1W85270AK0012770,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синий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1986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3507, VIN XTH531400K1246122,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хаки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1989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5312, VIN XTA531200L1396605,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1990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ВАЗ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-2121, VIN XTA212100N0906846,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красный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3307, VIN XTH330720M1425765,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1991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3309, VIN XVU4616AAA0000318,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белый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САЗ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3507,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синий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ГАЗ САЗ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3507,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голубой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688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63, 1986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ВАЗ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21310, VIN XTA21310050063506,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серебристо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желтый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 2004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Оборудование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Стенд 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921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Стенд 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921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Сварочный агрегат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Сварочный агрегат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Автовесы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Зерноочиститель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Влагомер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Сцепки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Культиваторы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Сеялки с катками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Сеялки зернотрав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Зернооч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машина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Стогометатель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Пресподборщики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Захват рулонный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Обмотчик рулонов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Измельчитель рулонов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Измельчитель кормов инв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148;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Станок шлифовальный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Установка СТЭЛ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Культиватор скоростной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Сцепка без маркера СПА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-16 3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Каток кольчато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шпоровый ЗККШ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-6 2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Прикатывающие катки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023 5566 4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Прикатывающие катки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Культиватор скоростной КПС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-4 3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Сцепка с маркером СП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-16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А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Зерноопогрузчик 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КПШ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-6;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Таль электрическая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Протравитель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Сеялка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3-3, 6-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 без кат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,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490,491;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Прикатывающие катки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Прикатывающие катки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Культиваторы КПС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-4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Сцепка без маркера СП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16-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Маркер к сцепке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Кормораздатчик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катамара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Грабли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ворошилка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Кормораздатчик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шт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Транспортер ТСН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-3,0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Транспортер ТСН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-3,0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Весы для взвешивания животных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Погрузчик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копновоз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Протравитель камерный ПК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-20 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Супер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";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Жатка валковая ПН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-360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Транспортер ТСН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-3,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Культиватор пред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ки КПО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Доильная установка УДС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-3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Доильная установка АДМН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Доильная установка АДМН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-100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Металлическое огражд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базы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Трансформатор на базу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Сепаратор биогумуса ФГС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Сепаратор биогумуса ФГС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-2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Тепловой узел произв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комплекса инв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663;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Электроводонагреватель УАП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-600;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Холод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камера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14193357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auto"/>
        </w:tblPrEx>
        <w:trPr>
          <w:trHeight w:val="96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auto"/>
        </w:tblPrEx>
        <w:trPr>
          <w:trHeight w:val="351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"/>
              <w:spacing w:after="120" w:line="240" w:lineRule="auto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Реквизиты банковского счета для внесения задатка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: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получатель – ООО «ЦЭП»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40702810100000006183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АО «НВКбанк» 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30101810100000000751,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/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КПП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6454005120/645501001,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БИК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046311751,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 указанием «Задаток для участия в открытых торгах по продаже имущества ООО «Заречье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-2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»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без обреиенения залогом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),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</w:p>
        </w:tc>
      </w:tr>
    </w:tbl>
    <w:p>
      <w:pPr>
        <w:pStyle w:val="Текстовый блок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"/>
        <w:widowControl w:val="0"/>
        <w:spacing w:line="240" w:lineRule="auto"/>
        <w:ind w:firstLine="708"/>
        <w:rPr>
          <w:sz w:val="24"/>
          <w:szCs w:val="24"/>
        </w:rPr>
      </w:pPr>
    </w:p>
    <w:p>
      <w:pPr>
        <w:pStyle w:val="Текстовый блок"/>
        <w:widowControl w:val="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Торги признаны несостоявшимися  </w:t>
      </w:r>
      <w:r>
        <w:rPr>
          <w:rFonts w:ascii="Calibri"/>
          <w:sz w:val="24"/>
          <w:szCs w:val="24"/>
          <w:rtl w:val="0"/>
          <w:lang w:val="ru-RU"/>
        </w:rPr>
        <w:t xml:space="preserve">- </w:t>
      </w:r>
      <w:r>
        <w:rPr>
          <w:sz w:val="24"/>
          <w:szCs w:val="24"/>
          <w:rtl w:val="0"/>
          <w:lang w:val="ru-RU"/>
        </w:rPr>
        <w:t>к участию в торгах не было допущено ни одного участника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p>
      <w:pPr>
        <w:pStyle w:val="Текстовый блок"/>
        <w:spacing w:line="240" w:lineRule="auto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 </w:t>
      </w:r>
    </w:p>
    <w:p>
      <w:pPr>
        <w:pStyle w:val="Текстовый блок"/>
        <w:rPr>
          <w:sz w:val="24"/>
          <w:szCs w:val="24"/>
        </w:rPr>
      </w:pPr>
      <w:r>
        <w:rPr>
          <w:rFonts w:hAnsi="Calibri" w:hint="default"/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rFonts w:ascii="Calibri"/>
          <w:sz w:val="24"/>
          <w:szCs w:val="24"/>
          <w:rtl w:val="0"/>
          <w:lang w:val="ru-RU"/>
        </w:rPr>
        <w:t xml:space="preserve">, </w:t>
      </w:r>
      <w:r>
        <w:rPr>
          <w:rFonts w:hAnsi="Calibri" w:hint="default"/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p>
      <w:pPr>
        <w:pStyle w:val="Текстовый блок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Fonts w:ascii="Calibri"/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rFonts w:ascii="Calibri"/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Fonts w:ascii="Calibri"/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Текстовый блок"/>
        <w:spacing w:line="240" w:lineRule="auto"/>
      </w:pPr>
      <w:r>
        <w:rPr>
          <w:sz w:val="24"/>
          <w:szCs w:val="24"/>
          <w:rtl w:val="0"/>
        </w:rPr>
        <w:br w:type="textWrapping"/>
      </w:r>
      <w:r>
        <w:rPr>
          <w:sz w:val="24"/>
          <w:szCs w:val="24"/>
          <w:rtl w:val="0"/>
        </w:rPr>
        <w:br w:type="page"/>
      </w:r>
    </w:p>
    <w:p>
      <w:pPr>
        <w:pStyle w:val="Текстовый блок"/>
        <w:spacing w:line="240" w:lineRule="auto"/>
        <w:rPr>
          <w:sz w:val="24"/>
          <w:szCs w:val="24"/>
          <w:rtl w:val="0"/>
        </w:rPr>
      </w:pPr>
    </w:p>
    <w:p>
      <w:pPr>
        <w:pStyle w:val="Текстовый блок"/>
        <w:spacing w:line="240" w:lineRule="auto"/>
      </w:pPr>
      <w:r>
        <w:rPr>
          <w:sz w:val="24"/>
          <w:szCs w:val="24"/>
          <w:rtl w:val="0"/>
        </w:rPr>
        <w:br w:type="page"/>
      </w:r>
    </w:p>
    <w:p>
      <w:pPr>
        <w:pStyle w:val="Текстовый блок"/>
        <w:spacing w:line="240" w:lineRule="auto"/>
        <w:rPr>
          <w:sz w:val="24"/>
          <w:szCs w:val="24"/>
          <w:rtl w:val="0"/>
        </w:rPr>
      </w:pPr>
    </w:p>
    <w:p>
      <w:pPr>
        <w:pStyle w:val="Текстовый блок"/>
        <w:spacing w:line="240" w:lineRule="auto"/>
      </w:pPr>
      <w:r>
        <w:rPr>
          <w:sz w:val="24"/>
          <w:szCs w:val="24"/>
          <w:rtl w:val="0"/>
        </w:rPr>
        <w:br w:type="page"/>
      </w:r>
    </w:p>
    <w:p>
      <w:pPr>
        <w:pStyle w:val="Текстовый блок"/>
        <w:spacing w:line="240" w:lineRule="auto"/>
      </w:pPr>
      <w:r>
        <w:rPr>
          <w:sz w:val="24"/>
          <w:szCs w:val="24"/>
          <w:rtl w:val="0"/>
        </w:rPr>
      </w: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9">
    <w:multiLevelType w:val="multilevel"/>
    <w:styleLink w:val="List 2"/>
    <w:lvl w:ilvl="0">
      <w:start w:val="2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10">
    <w:multiLevelType w:val="multilevel"/>
    <w:styleLink w:val="List 2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11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12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3">
    <w:multiLevelType w:val="multilevel"/>
    <w:styleLink w:val="List 3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1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1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6">
    <w:multiLevelType w:val="multilevel"/>
    <w:styleLink w:val="List 4"/>
    <w:lvl w:ilvl="0">
      <w:start w:val="3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17">
    <w:multiLevelType w:val="multilevel"/>
    <w:styleLink w:val="List 4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18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19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0">
    <w:multiLevelType w:val="multilevel"/>
    <w:styleLink w:val="List 5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21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22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3">
    <w:multiLevelType w:val="multilevel"/>
    <w:styleLink w:val="List 6"/>
    <w:lvl w:ilvl="0">
      <w:start w:val="4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24">
    <w:multiLevelType w:val="multilevel"/>
    <w:styleLink w:val="List 6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25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26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7">
    <w:multiLevelType w:val="multilevel"/>
    <w:styleLink w:val="List 7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28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29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30">
    <w:multiLevelType w:val="multilevel"/>
    <w:styleLink w:val="List 8"/>
    <w:lvl w:ilvl="0">
      <w:start w:val="5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31">
    <w:multiLevelType w:val="multilevel"/>
    <w:styleLink w:val="List 8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3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33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34">
    <w:multiLevelType w:val="multilevel"/>
    <w:styleLink w:val="List 9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35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36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37">
    <w:multiLevelType w:val="multilevel"/>
    <w:styleLink w:val="List 10"/>
    <w:lvl w:ilvl="0">
      <w:start w:val="6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38">
    <w:multiLevelType w:val="multilevel"/>
    <w:styleLink w:val="List 10"/>
    <w:lvl w:ilvl="0">
      <w:start w:val="0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39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40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41">
    <w:multiLevelType w:val="multilevel"/>
    <w:styleLink w:val="List 11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Arial Unicode MS" w:cs="Arial Unicode MS" w:hAnsi="Arial Unicode MS" w:eastAsia="Arial Unicode MS"/>
        <w:position w:val="0"/>
        <w:sz w:val="24"/>
        <w:szCs w:val="24"/>
        <w:rtl w:val="0"/>
      </w:rPr>
    </w:lvl>
  </w:abstractNum>
  <w:abstractNum w:abstractNumId="42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abstractNum w:abstractNumId="43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44">
    <w:multiLevelType w:val="multilevel"/>
    <w:styleLink w:val="List 12"/>
    <w:lvl w:ilvl="0">
      <w:start w:val="7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">
    <w:name w:val="Текстовый блок"/>
    <w:next w:val="Текстовый блок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single" w:color="000000"/>
      <w:vertAlign w:val="baseline"/>
      <w:lang w:val="de-DE"/>
    </w:rPr>
  </w:style>
  <w:style w:type="numbering" w:styleId="List 1">
    <w:name w:val="List 1"/>
    <w:basedOn w:val="Импортированный стиль 2"/>
    <w:next w:val="List 1"/>
    <w:pPr>
      <w:numPr>
        <w:numId w:val="5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6"/>
      </w:numPr>
    </w:pPr>
  </w:style>
  <w:style w:type="numbering" w:styleId="List 2">
    <w:name w:val="List 2"/>
    <w:basedOn w:val="Импортированный стиль 3"/>
    <w:next w:val="List 2"/>
    <w:pPr>
      <w:numPr>
        <w:numId w:val="8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9"/>
      </w:numPr>
    </w:pPr>
  </w:style>
  <w:style w:type="numbering" w:styleId="List 3">
    <w:name w:val="List 3"/>
    <w:basedOn w:val="Импортированный стиль 4"/>
    <w:next w:val="List 3"/>
    <w:pPr>
      <w:numPr>
        <w:numId w:val="12"/>
      </w:numPr>
    </w:pPr>
  </w:style>
  <w:style w:type="numbering" w:styleId="Импортированный стиль 4">
    <w:name w:val="Импортированный стиль 4"/>
    <w:next w:val="Импортированный стиль 4"/>
    <w:pPr>
      <w:numPr>
        <w:numId w:val="13"/>
      </w:numPr>
    </w:pPr>
  </w:style>
  <w:style w:type="numbering" w:styleId="List 4">
    <w:name w:val="List 4"/>
    <w:basedOn w:val="Импортированный стиль 5"/>
    <w:next w:val="List 4"/>
    <w:pPr>
      <w:numPr>
        <w:numId w:val="15"/>
      </w:numPr>
    </w:pPr>
  </w:style>
  <w:style w:type="numbering" w:styleId="Импортированный стиль 5">
    <w:name w:val="Импортированный стиль 5"/>
    <w:next w:val="Импортированный стиль 5"/>
    <w:pPr>
      <w:numPr>
        <w:numId w:val="16"/>
      </w:numPr>
    </w:pPr>
  </w:style>
  <w:style w:type="numbering" w:styleId="List 5">
    <w:name w:val="List 5"/>
    <w:basedOn w:val="Импортированный стиль 6"/>
    <w:next w:val="List 5"/>
    <w:pPr>
      <w:numPr>
        <w:numId w:val="19"/>
      </w:numPr>
    </w:pPr>
  </w:style>
  <w:style w:type="numbering" w:styleId="Импортированный стиль 6">
    <w:name w:val="Импортированный стиль 6"/>
    <w:next w:val="Импортированный стиль 6"/>
    <w:pPr>
      <w:numPr>
        <w:numId w:val="20"/>
      </w:numPr>
    </w:pPr>
  </w:style>
  <w:style w:type="numbering" w:styleId="List 6">
    <w:name w:val="List 6"/>
    <w:basedOn w:val="Импортированный стиль 7"/>
    <w:next w:val="List 6"/>
    <w:pPr>
      <w:numPr>
        <w:numId w:val="22"/>
      </w:numPr>
    </w:pPr>
  </w:style>
  <w:style w:type="numbering" w:styleId="Импортированный стиль 7">
    <w:name w:val="Импортированный стиль 7"/>
    <w:next w:val="Импортированный стиль 7"/>
    <w:pPr>
      <w:numPr>
        <w:numId w:val="23"/>
      </w:numPr>
    </w:pPr>
  </w:style>
  <w:style w:type="numbering" w:styleId="List 7">
    <w:name w:val="List 7"/>
    <w:basedOn w:val="Импортированный стиль 8"/>
    <w:next w:val="List 7"/>
    <w:pPr>
      <w:numPr>
        <w:numId w:val="26"/>
      </w:numPr>
    </w:pPr>
  </w:style>
  <w:style w:type="numbering" w:styleId="Импортированный стиль 8">
    <w:name w:val="Импортированный стиль 8"/>
    <w:next w:val="Импортированный стиль 8"/>
    <w:pPr>
      <w:numPr>
        <w:numId w:val="27"/>
      </w:numPr>
    </w:pPr>
  </w:style>
  <w:style w:type="numbering" w:styleId="List 8">
    <w:name w:val="List 8"/>
    <w:basedOn w:val="Импортированный стиль 9"/>
    <w:next w:val="List 8"/>
    <w:pPr>
      <w:numPr>
        <w:numId w:val="29"/>
      </w:numPr>
    </w:pPr>
  </w:style>
  <w:style w:type="numbering" w:styleId="Импортированный стиль 9">
    <w:name w:val="Импортированный стиль 9"/>
    <w:next w:val="Импортированный стиль 9"/>
    <w:pPr>
      <w:numPr>
        <w:numId w:val="30"/>
      </w:numPr>
    </w:pPr>
  </w:style>
  <w:style w:type="numbering" w:styleId="List 9">
    <w:name w:val="List 9"/>
    <w:basedOn w:val="Импортированный стиль 10"/>
    <w:next w:val="List 9"/>
    <w:pPr>
      <w:numPr>
        <w:numId w:val="33"/>
      </w:numPr>
    </w:pPr>
  </w:style>
  <w:style w:type="numbering" w:styleId="Импортированный стиль 10">
    <w:name w:val="Импортированный стиль 10"/>
    <w:next w:val="Импортированный стиль 10"/>
    <w:pPr>
      <w:numPr>
        <w:numId w:val="34"/>
      </w:numPr>
    </w:pPr>
  </w:style>
  <w:style w:type="numbering" w:styleId="List 10">
    <w:name w:val="List 10"/>
    <w:basedOn w:val="Импортированный стиль 11"/>
    <w:next w:val="List 10"/>
    <w:pPr>
      <w:numPr>
        <w:numId w:val="36"/>
      </w:numPr>
    </w:pPr>
  </w:style>
  <w:style w:type="numbering" w:styleId="Импортированный стиль 11">
    <w:name w:val="Импортированный стиль 11"/>
    <w:next w:val="Импортированный стиль 11"/>
    <w:pPr>
      <w:numPr>
        <w:numId w:val="37"/>
      </w:numPr>
    </w:pPr>
  </w:style>
  <w:style w:type="numbering" w:styleId="List 11">
    <w:name w:val="List 11"/>
    <w:basedOn w:val="Импортированный стиль 12"/>
    <w:next w:val="List 11"/>
    <w:pPr>
      <w:numPr>
        <w:numId w:val="40"/>
      </w:numPr>
    </w:pPr>
  </w:style>
  <w:style w:type="numbering" w:styleId="Импортированный стиль 12">
    <w:name w:val="Импортированный стиль 12"/>
    <w:next w:val="Импортированный стиль 12"/>
    <w:pPr>
      <w:numPr>
        <w:numId w:val="41"/>
      </w:numPr>
    </w:pPr>
  </w:style>
  <w:style w:type="numbering" w:styleId="List 12">
    <w:name w:val="List 12"/>
    <w:basedOn w:val="Импортированный стиль 13"/>
    <w:next w:val="List 12"/>
    <w:pPr>
      <w:numPr>
        <w:numId w:val="43"/>
      </w:numPr>
    </w:pPr>
  </w:style>
  <w:style w:type="numbering" w:styleId="Импортированный стиль 13">
    <w:name w:val="Импортированный стиль 13"/>
    <w:next w:val="Импортированный стиль 13"/>
    <w:pPr>
      <w:numPr>
        <w:numId w:val="44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yperlink" Target="http://eurtp.ru/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