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Протокол о результатах проведения открытых торгов по аукциону № АЗ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00026.</w:t>
      </w:r>
    </w:p>
    <w:p>
      <w:pPr>
        <w:pStyle w:val="List Paragraph"/>
        <w:widowControl w:val="0"/>
        <w:numPr>
          <w:ilvl w:val="0"/>
          <w:numId w:val="3"/>
        </w:numPr>
        <w:tabs>
          <w:tab w:val="num" w:pos="690"/>
          <w:tab w:val="clear" w:pos="720"/>
        </w:tabs>
        <w:ind w:left="690" w:hanging="330"/>
        <w:rPr>
          <w:position w:val="0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>об закрытом аукционе</w:t>
      </w:r>
      <w:r>
        <w:rPr>
          <w:rFonts w:ascii="Calibri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АЗ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00026.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376"/>
        <w:gridCol w:w="7195"/>
      </w:tblGrid>
      <w:tr>
        <w:tblPrEx>
          <w:shd w:val="clear" w:color="auto" w:fill="auto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auto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Закрытая</w:t>
            </w:r>
          </w:p>
        </w:tc>
      </w:tr>
      <w:tr>
        <w:tblPrEx>
          <w:shd w:val="clear" w:color="auto" w:fill="auto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«Торги в форме закрытого аукциона по продаже имущества 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auto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Открытые торги по реализации имущества ООО «Заречье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-2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» с закрытой формой представления предложений о цене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Победителем электронных торгов по продаже имущества должника посредством закрытого аукциона признается участник открытых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который предложил наибольшую цену за выставленное организатором торгов имущество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[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hyperlink r:id="rId4" w:history="1">
              <w:r>
                <w:rPr>
                  <w:rStyle w:val="Hyperlink.0"/>
                  <w:rFonts w:ascii="Calibri"/>
                  <w:caps w:val="0"/>
                  <w:smallCaps w:val="0"/>
                  <w:strike w:val="0"/>
                  <w:dstrike w:val="0"/>
                  <w:outline w:val="0"/>
                  <w:color w:val="000000"/>
                  <w:spacing w:val="0"/>
                  <w:kern w:val="0"/>
                  <w:position w:val="0"/>
                  <w:sz w:val="24"/>
                  <w:szCs w:val="24"/>
                  <w:u w:color="000000"/>
                  <w:vertAlign w:val="baseline"/>
                  <w:rtl w:val="0"/>
                  <w:lang w:val="de-DE"/>
                </w:rPr>
                <w:t>http://eurtp.ru/</w:t>
              </w:r>
            </w:hyperlink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auto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10.05.2017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8:00</w:t>
            </w:r>
          </w:p>
        </w:tc>
      </w:tr>
      <w:tr>
        <w:tblPrEx>
          <w:shd w:val="clear" w:color="auto" w:fill="auto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14.06.2017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auto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06.05.2017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auto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04.05.2017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auto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05.05.2017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90"/>
          <w:tab w:val="clear" w:pos="720"/>
        </w:tabs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5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ЦЭП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КПП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645201001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Юридический адрес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410005,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Разина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., 78</w:t>
            </w:r>
          </w:p>
        </w:tc>
      </w:tr>
    </w:tbl>
    <w:p>
      <w:pPr>
        <w:pStyle w:val="List Paragraph"/>
        <w:widowControl w:val="0"/>
        <w:numPr>
          <w:ilvl w:val="0"/>
          <w:numId w:val="6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7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Беспалов Алексей Павлович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632500231887</w:t>
            </w:r>
          </w:p>
        </w:tc>
      </w:tr>
      <w:tr>
        <w:tblPrEx>
          <w:shd w:val="clear" w:color="auto" w:fill="auto"/>
        </w:tblPrEx>
        <w:trPr>
          <w:trHeight w:val="14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САМРО «Ассоциация антикризисных управляющих»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Саморегулируемая межрегиональная общественная организация «Ассоциация антикризисных управляющих»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516</w:t>
            </w:r>
          </w:p>
        </w:tc>
      </w:tr>
    </w:tbl>
    <w:p>
      <w:pPr>
        <w:pStyle w:val="List Paragraph"/>
        <w:widowControl w:val="0"/>
        <w:numPr>
          <w:ilvl w:val="0"/>
          <w:numId w:val="8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9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Арбитражный суд Самарской области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55-1818/2014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Решение Арбитражного суда Самарской области 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24.11.2014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делу №А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55-1818/2014</w:t>
            </w:r>
          </w:p>
        </w:tc>
      </w:tr>
    </w:tbl>
    <w:p>
      <w:pPr>
        <w:pStyle w:val="List Paragraph"/>
        <w:widowControl w:val="0"/>
        <w:numPr>
          <w:ilvl w:val="0"/>
          <w:numId w:val="10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1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auto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6375004727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1026303781294</w:t>
            </w:r>
          </w:p>
        </w:tc>
      </w:tr>
      <w:tr>
        <w:tblPrEx>
          <w:shd w:val="clear" w:color="auto" w:fill="auto"/>
        </w:tblPrEx>
        <w:trPr>
          <w:trHeight w:val="41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</w:tbl>
    <w:p>
      <w:pPr>
        <w:pStyle w:val="List Paragraph"/>
        <w:widowControl w:val="0"/>
        <w:numPr>
          <w:ilvl w:val="0"/>
          <w:numId w:val="12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3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ЦЭП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14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</w:p>
    <w:p>
      <w:pPr>
        <w:pStyle w:val="Normal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15"/>
        </w:numPr>
        <w:tabs>
          <w:tab w:val="num" w:pos="690"/>
          <w:tab w:val="clear" w:pos="720"/>
        </w:tabs>
        <w:bidi w:val="0"/>
        <w:spacing w:line="240" w:lineRule="auto"/>
        <w:ind w:left="690" w:right="0" w:hanging="330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"/>
        <w:widowControl w:val="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аявка на участие в торгах оформляется в форме электронного сообщения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 должна содержать сведения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соответствующие требованиям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установленным статьями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Закона о несостоятельности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 приказом Министерства экономического развития РФ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495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23.07.2015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Установка экс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УЭК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659.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2100179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Реквизиты банковского счета для внесения задатка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получатель – ООО «ЦЭП»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40702810100000006183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АО «НВКбанк» 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30101810100000000751,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КПП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6454005120/645501001,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046311751,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указанием «Задаток для участия в открытых торгах по продаже имущества ООО «Заречье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залог МСХП СО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Normal"/>
        <w:spacing w:line="240" w:lineRule="auto"/>
        <w:ind w:firstLine="708"/>
        <w:rPr>
          <w:sz w:val="24"/>
          <w:szCs w:val="24"/>
          <w:rtl w:val="0"/>
        </w:rPr>
      </w:pPr>
      <w:r>
        <w:rPr>
          <w:sz w:val="24"/>
          <w:szCs w:val="24"/>
          <w:rtl w:val="0"/>
          <w:lang w:val="ru-RU"/>
        </w:rPr>
        <w:t xml:space="preserve"> Предложения</w:t>
      </w:r>
    </w:p>
    <w:p>
      <w:pPr>
        <w:pStyle w:val="Текстовый блок"/>
        <w:widowControl w:val="0"/>
        <w:pBdr>
          <w:top w:val="nil"/>
          <w:left w:val="nil"/>
          <w:bottom w:val="nil"/>
          <w:right w:val="nil"/>
        </w:pBdr>
        <w:bidi w:val="0"/>
        <w:spacing w:after="200"/>
        <w:ind w:left="0" w:right="0" w:firstLine="708"/>
        <w:jc w:val="left"/>
        <w:rPr>
          <w:rFonts w:ascii="Calibri" w:cs="Calibri" w:hAnsi="Calibri" w:eastAsia="Calibri"/>
          <w:sz w:val="24"/>
          <w:szCs w:val="24"/>
          <w:u w:color="000000"/>
          <w:rtl w:val="0"/>
        </w:rPr>
      </w:pPr>
      <w:r>
        <w:rPr>
          <w:rFonts w:hAnsi="Calibri" w:hint="default"/>
          <w:sz w:val="24"/>
          <w:szCs w:val="24"/>
          <w:u w:color="000000"/>
          <w:rtl w:val="0"/>
          <w:lang w:val="ru-RU"/>
        </w:rPr>
        <w:t xml:space="preserve">Торги признаны несостоявшимися  </w:t>
      </w:r>
      <w:r>
        <w:rPr>
          <w:rFonts w:ascii="Calibri"/>
          <w:sz w:val="24"/>
          <w:szCs w:val="24"/>
          <w:u w:color="000000"/>
          <w:rtl w:val="0"/>
          <w:lang w:val="ru-RU"/>
        </w:rPr>
        <w:t xml:space="preserve">- </w:t>
      </w:r>
      <w:r>
        <w:rPr>
          <w:rFonts w:hAnsi="Calibri" w:hint="default"/>
          <w:sz w:val="24"/>
          <w:szCs w:val="24"/>
          <w:u w:color="000000"/>
          <w:rtl w:val="0"/>
          <w:lang w:val="ru-RU"/>
        </w:rPr>
        <w:t>к участию в торгах не было допущено ни одного участника</w:t>
      </w:r>
      <w:r>
        <w:rPr>
          <w:rFonts w:ascii="Calibri"/>
          <w:sz w:val="24"/>
          <w:szCs w:val="24"/>
          <w:u w:color="000000"/>
          <w:rtl w:val="0"/>
          <w:lang w:val="ru-RU"/>
        </w:rPr>
        <w:t>.</w:t>
      </w:r>
    </w:p>
    <w:p>
      <w:pPr>
        <w:pStyle w:val="Normal"/>
        <w:spacing w:after="0" w:line="240" w:lineRule="auto"/>
        <w:ind w:left="709" w:firstLine="0"/>
        <w:rPr>
          <w:sz w:val="24"/>
          <w:szCs w:val="24"/>
        </w:rPr>
      </w:pPr>
    </w:p>
    <w:p>
      <w:pPr>
        <w:pStyle w:val="Normal"/>
        <w:rPr>
          <w:sz w:val="24"/>
          <w:szCs w:val="24"/>
        </w:rPr>
      </w:pPr>
      <w:r>
        <w:rPr>
          <w:rFonts w:ascii="Arial Unicode MS" w:cs="Arial Unicode MS" w:hAnsi="Calibri" w:eastAsia="Arial Unicode MS" w:hint="default"/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rFonts w:ascii="Calibri" w:cs="Arial Unicode MS" w:hAnsi="Arial Unicode MS" w:eastAsia="Arial Unicode MS"/>
          <w:sz w:val="24"/>
          <w:szCs w:val="24"/>
          <w:rtl w:val="0"/>
          <w:lang w:val="ru-RU"/>
        </w:rPr>
        <w:t xml:space="preserve">, </w:t>
      </w:r>
      <w:r>
        <w:rPr>
          <w:rFonts w:ascii="Arial Unicode MS" w:cs="Arial Unicode MS" w:hAnsi="Calibri" w:eastAsia="Arial Unicode MS" w:hint="default"/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rFonts w:ascii="Calibri" w:cs="Arial Unicode MS" w:hAnsi="Arial Unicode MS" w:eastAsia="Arial Unicode MS"/>
          <w:sz w:val="24"/>
          <w:szCs w:val="24"/>
          <w:rtl w:val="0"/>
          <w:lang w:val="ru-RU"/>
        </w:rPr>
        <w:t>.</w:t>
      </w:r>
    </w:p>
    <w:p>
      <w:pPr>
        <w:pStyle w:val="Normal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Fonts w:ascii="Calibri"/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rFonts w:ascii="Calibri"/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Fonts w:ascii="Calibri"/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Normal"/>
        <w:spacing w:line="240" w:lineRule="auto"/>
      </w:pPr>
      <w:r>
        <w:rPr>
          <w:sz w:val="24"/>
          <w:szCs w:val="24"/>
        </w:rPr>
        <w:br w:type="textWrapping"/>
      </w:r>
      <w:r>
        <w:rPr>
          <w:b w:val="1"/>
          <w:bCs w:val="1"/>
          <w:sz w:val="24"/>
          <w:szCs w:val="24"/>
        </w:rPr>
        <w:br w:type="page"/>
      </w:r>
    </w:p>
    <w:p>
      <w:pPr>
        <w:pStyle w:val="Normal"/>
        <w:spacing w:line="240" w:lineRule="auto"/>
      </w:pPr>
      <w:r>
        <w:rPr>
          <w:sz w:val="24"/>
          <w:szCs w:val="24"/>
        </w:rPr>
        <w:br w:type="page"/>
      </w:r>
    </w:p>
    <w:p>
      <w:pPr>
        <w:pStyle w:val="Normal"/>
        <w:spacing w:line="240" w:lineRule="auto"/>
      </w:pP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styleLink w:val="List 0"/>
    <w:lvl w:ilvl="0">
      <w:start w:val="2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5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6">
    <w:multiLevelType w:val="multilevel"/>
    <w:styleLink w:val="List 0"/>
    <w:lvl w:ilvl="0">
      <w:start w:val="3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7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8">
    <w:multiLevelType w:val="multilevel"/>
    <w:styleLink w:val="List 0"/>
    <w:lvl w:ilvl="0">
      <w:start w:val="4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9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0">
    <w:multiLevelType w:val="multilevel"/>
    <w:styleLink w:val="List 0"/>
    <w:lvl w:ilvl="0">
      <w:start w:val="5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1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2">
    <w:multiLevelType w:val="multilevel"/>
    <w:styleLink w:val="List 0"/>
    <w:lvl w:ilvl="0">
      <w:start w:val="6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abstractNum w:abstractNumId="14">
    <w:multiLevelType w:val="multilevel"/>
    <w:styleLink w:val="List 0"/>
    <w:lvl w:ilvl="0">
      <w:start w:val="7"/>
      <w:numFmt w:val="decimal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Ссылка">
    <w:name w:val="Ссылка"/>
    <w:rPr>
      <w:color w:val="0000ff"/>
      <w:u w:val="single" w:color="0000ff"/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color="000000"/>
      <w:vertAlign w:val="baseline"/>
      <w:lang w:val="en-US"/>
    </w:rPr>
  </w:style>
  <w:style w:type="paragraph" w:styleId="Текстовый блок">
    <w:name w:val="Текстовый блок"/>
    <w:next w:val="Текстовый блок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http://eurtp.ru/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