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EC2E79">
        <w:rPr>
          <w:b/>
          <w:sz w:val="24"/>
          <w:szCs w:val="24"/>
        </w:rPr>
        <w:t>2716</w:t>
      </w:r>
      <w:r w:rsidR="00424B57">
        <w:rPr>
          <w:b/>
          <w:sz w:val="24"/>
          <w:szCs w:val="24"/>
        </w:rPr>
        <w:t>.</w:t>
      </w:r>
    </w:p>
    <w:p w:rsidR="00320475" w:rsidRPr="00320475" w:rsidRDefault="00EC2E79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11.03.2020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EC2E79">
        <w:rPr>
          <w:sz w:val="24"/>
          <w:szCs w:val="24"/>
        </w:rPr>
        <w:t>Федорова Марина Александровна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EC2E79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EC2E79">
        <w:rPr>
          <w:sz w:val="24"/>
          <w:szCs w:val="24"/>
        </w:rPr>
        <w:t>АО0002716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EC2E79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EC2E79">
        <w:rPr>
          <w:sz w:val="24"/>
          <w:szCs w:val="24"/>
        </w:rPr>
        <w:t>Хачикян  Цагик Гегамовна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EC2E79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EC2E79">
        <w:rPr>
          <w:sz w:val="24"/>
          <w:szCs w:val="24"/>
        </w:rPr>
        <w:t>АО0002716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EC2E79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EC2E79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EC2E79">
              <w:rPr>
                <w:sz w:val="24"/>
                <w:szCs w:val="24"/>
              </w:rPr>
              <w:t>Хачикян  Цагик Гегамовна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EC2E79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Хачикян Цагик Гегамовны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EC2E79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EC2E79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EC2E79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12.03.2020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EC2E79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16.04.2020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EC2E79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11.03.2020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EC2E79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11.03.2020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EC2E79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11.03.2020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СРО ОАУ "Лидер" - Ассоциация саморегулируемая организация "Объединение арбитражных управляющих "Лидер"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18986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А57-20422/2019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 Саратовской области от 05.03.2020г.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Хачикян  Цагик Гегамовна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644926232992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М.А.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89173000233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EC2E79" w:rsidRDefault="00EC2E79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Открытые торги в электронной форме в виде аукциона по продаже имущества должника Хачикян Цагик Гегамовны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 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участок, категория земель ЗНП, кадастровый (условный) номер 64:38:040401:367Для индивидуального жилищного строительства, 700 м.кв.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320000,00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32000,00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В целях участия в торгах заявитель должен перечислить задаток в размере 20 % начальной цены продажи лота по указанным  реквизитам.Суммы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EC2E7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EC2E79" w:rsidRDefault="00EC2E79" w:rsidP="00EC2E7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Поволжский Банк ПАО СБЕРБАНК  к/с 30101810200000000607, БИК 043601607,  р/с 42307810256170541706, получатель Хачикян Цагик Гегамовна, нзнаение платежа: внесение задатка за имущество должника Хачикян Ц.Г. 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EC2E79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5C28-023A-4949-B877-78F95419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2020-03-11T08:43:00Z</dcterms:created>
  <dcterms:modified xsi:type="dcterms:W3CDTF">2020-03-11T08:43:00Z</dcterms:modified>
</cp:coreProperties>
</file>