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7024A2">
        <w:rPr>
          <w:b/>
          <w:sz w:val="24"/>
          <w:szCs w:val="24"/>
        </w:rPr>
        <w:t>2714</w:t>
      </w:r>
      <w:r w:rsidR="00424B57">
        <w:rPr>
          <w:b/>
          <w:sz w:val="24"/>
          <w:szCs w:val="24"/>
        </w:rPr>
        <w:t>.</w:t>
      </w:r>
    </w:p>
    <w:p w:rsidR="00320475" w:rsidRPr="00320475" w:rsidRDefault="007024A2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10.03.2020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7024A2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7024A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7024A2">
        <w:rPr>
          <w:sz w:val="24"/>
          <w:szCs w:val="24"/>
        </w:rPr>
        <w:t>АО0002714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7024A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7024A2">
        <w:rPr>
          <w:sz w:val="24"/>
          <w:szCs w:val="24"/>
        </w:rPr>
        <w:t>Перервенко  Елена Николаевна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7024A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7024A2">
        <w:rPr>
          <w:sz w:val="24"/>
          <w:szCs w:val="24"/>
        </w:rPr>
        <w:t>АО0002714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7024A2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7024A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7024A2">
              <w:rPr>
                <w:sz w:val="24"/>
                <w:szCs w:val="24"/>
              </w:rPr>
              <w:t>Перервенко  Елена Николаевна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7024A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Перервенко Елены Николаевны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7024A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7024A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7024A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12.03.2020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7024A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16.04.2020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7024A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10.03.2020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7024A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10.03.2020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7024A2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10.03.2020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15:00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 - Союз арбитражных управляющих "Возрождение"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Республики Хакасия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А74-6812/2019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Республики Хакасия от 01.08.2019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Перервенко  Елена Николаевна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190103111425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8-937-247-00-51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7024A2" w:rsidRDefault="007024A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расположенный по адресу: Республика Хакасия, дачный район Нижняя Согра, массив Дружба+, ул. Дачная, д. 44 с кадастровым номером 19:01:080105:75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расположенный по адресу: Республика Хакасия, дачный район Нижняя Согра, массив Дружба+, ул. Дачная, д. 44 с кадастровым номером 19:01:080105:75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180000,00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9000,00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 акцептом договора о задатке. 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</w:t>
            </w:r>
          </w:p>
        </w:tc>
      </w:tr>
      <w:tr w:rsidR="007024A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024A2" w:rsidRDefault="007024A2" w:rsidP="007024A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банка получателя: Доп. Офис №8622/0301 ПАО «Сбербанк» Корреспондентский счет банка получателя: 30101810200000000607 Бик банка 043601607 Счет получателя 40817810556002092418 Наименование получателя средств Перервенко Николай Иванович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024A2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0659-9A47-4ED2-84F8-84A1393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2020-03-10T07:56:00Z</dcterms:created>
  <dcterms:modified xsi:type="dcterms:W3CDTF">2020-03-10T07:56:00Z</dcterms:modified>
</cp:coreProperties>
</file>