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8646D5">
        <w:rPr>
          <w:b/>
          <w:sz w:val="24"/>
          <w:szCs w:val="24"/>
        </w:rPr>
        <w:t>АО0002682</w:t>
      </w:r>
      <w:r w:rsidRPr="00BE0A9B">
        <w:rPr>
          <w:b/>
          <w:sz w:val="24"/>
          <w:szCs w:val="24"/>
        </w:rPr>
        <w:t>.</w:t>
      </w:r>
    </w:p>
    <w:p w:rsidR="009B22E7" w:rsidRPr="00BE0A9B" w:rsidRDefault="008646D5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21.01.2020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8646D5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8646D5">
        <w:rPr>
          <w:b/>
          <w:sz w:val="24"/>
          <w:szCs w:val="24"/>
        </w:rPr>
        <w:t>АО0002682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8646D5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8646D5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8646D5">
              <w:rPr>
                <w:sz w:val="24"/>
                <w:szCs w:val="24"/>
              </w:rPr>
              <w:t>Боронин Сергей Львович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8646D5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Боронина Сергея Львовича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8646D5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8646D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8646D5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05.12.2019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8646D5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20.01.2020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8646D5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04.12.2019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8646D5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04.12.2019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8646D5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04.12.2019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12:00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 Сергей Владимирович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644918589967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Союз арбитражных управляющих "Возрождение"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17760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 Саратовской области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А57-27036/2018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 26.11.2019 г.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Боронин Сергей Львович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645201101715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89173267492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8646D5" w:rsidRDefault="008646D5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RAV4, 2007 г.в. VIN JTMBH31V405035432, цвет серебристый, ПТС 77 Т0 892729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Срок представления заявок на участие в открытых торгах составляет 25 рабочих дней со дня опубликования и размещения сообщения о проведении торгов.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RAV4, 2007 г.в. VIN JTMBH31V405035432, цвет серебристый, ПТС 77 Т0 892729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228000,00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22800,00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8646D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8646D5" w:rsidRDefault="008646D5" w:rsidP="008646D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 средств: Боронин Сергей Львович Счет получателя средств: 40817810656002926811 БИК получателя: 043601607 Наименование банка получателя: Доп. Офис №8622/0301 ПАО «Сбербанк» Корреспондентский счет банка получателя: 30101810200000000607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8646D5">
        <w:rPr>
          <w:sz w:val="24"/>
          <w:szCs w:val="24"/>
        </w:rPr>
        <w:t>Подтвержденных 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646D5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F9B3-9844-4CDF-82C5-85D16F7A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2020-01-21T12:04:00Z</dcterms:created>
  <dcterms:modified xsi:type="dcterms:W3CDTF">2020-01-21T12:05:00Z</dcterms:modified>
</cp:coreProperties>
</file>