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Pr="00334D8D" w:rsidRDefault="0020620D" w:rsidP="00F000F2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EA310C">
        <w:rPr>
          <w:b/>
          <w:sz w:val="24"/>
          <w:szCs w:val="24"/>
        </w:rPr>
        <w:t>2623</w:t>
      </w:r>
      <w:r w:rsidR="00424B57">
        <w:rPr>
          <w:b/>
          <w:sz w:val="24"/>
          <w:szCs w:val="24"/>
        </w:rPr>
        <w:t>.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2" w:name="ФИО"/>
      <w:bookmarkEnd w:id="2"/>
      <w:r w:rsidR="00EA310C">
        <w:rPr>
          <w:sz w:val="24"/>
          <w:szCs w:val="24"/>
        </w:rPr>
        <w:t>Стрельникова Юлия Станиславна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3" w:name="ВидАукцион_ИП"/>
      <w:bookmarkEnd w:id="3"/>
      <w:r w:rsidR="00EA310C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НомерАукцион"/>
      <w:bookmarkEnd w:id="4"/>
      <w:r w:rsidR="00EA310C">
        <w:rPr>
          <w:sz w:val="24"/>
          <w:szCs w:val="24"/>
        </w:rPr>
        <w:t>АО0002623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5" w:name="ВидАукцион_РП"/>
      <w:bookmarkEnd w:id="5"/>
      <w:r w:rsidR="00EA310C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6" w:name="ПолнНаимДолжник"/>
      <w:bookmarkEnd w:id="6"/>
      <w:r w:rsidR="00EA310C">
        <w:rPr>
          <w:sz w:val="24"/>
          <w:szCs w:val="24"/>
        </w:rPr>
        <w:t>Бахтурин Виталий Александрович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7" w:name="ВидАукцион_ПП"/>
      <w:bookmarkEnd w:id="7"/>
      <w:r w:rsidR="00EA310C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8" w:name="НомерАукцион_1"/>
      <w:bookmarkEnd w:id="8"/>
      <w:r w:rsidR="00EA310C">
        <w:rPr>
          <w:sz w:val="24"/>
          <w:szCs w:val="24"/>
        </w:rPr>
        <w:t>АО0002623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69"/>
        <w:gridCol w:w="7813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EA310C" w:rsidP="00F000F2">
            <w:pPr>
              <w:contextualSpacing/>
              <w:rPr>
                <w:sz w:val="24"/>
                <w:szCs w:val="24"/>
              </w:rPr>
            </w:pPr>
            <w:bookmarkStart w:id="9" w:name="ФормаПредставление"/>
            <w:bookmarkEnd w:id="9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0" w:name="ВидАукцион_РП_1"/>
            <w:bookmarkEnd w:id="10"/>
            <w:r w:rsidR="00EA310C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1" w:name="СокрНаимДолжник"/>
            <w:bookmarkEnd w:id="11"/>
            <w:r w:rsidR="00EA310C">
              <w:rPr>
                <w:sz w:val="24"/>
                <w:szCs w:val="24"/>
              </w:rPr>
              <w:t>Бахтурин Виталий Александрович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EA310C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2" w:name="ДопСведение"/>
            <w:bookmarkEnd w:id="12"/>
            <w:r>
              <w:rPr>
                <w:sz w:val="24"/>
                <w:szCs w:val="24"/>
                <w:lang w:val="en-US"/>
              </w:rPr>
              <w:t>Открытые торги в электронной форме в виде аукциона по продаже имущества должника– гражданина Бахтурина Виталия Александровича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3" w:name="ВидАукцион_РП_2"/>
            <w:bookmarkEnd w:id="13"/>
            <w:r w:rsidR="00EA310C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4" w:name="ФормаОпределение"/>
            <w:bookmarkEnd w:id="14"/>
            <w:r w:rsidR="00EA310C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EA310C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5" w:name="ДатаНачПриемЗаявки_ддммгг"/>
            <w:bookmarkEnd w:id="15"/>
            <w:r>
              <w:rPr>
                <w:rFonts w:cstheme="minorHAnsi"/>
                <w:sz w:val="24"/>
                <w:szCs w:val="24"/>
              </w:rPr>
              <w:t>06.12.2018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6" w:name="ВремяНачПриемЗаявки_ччмм"/>
            <w:bookmarkEnd w:id="16"/>
            <w:r>
              <w:rPr>
                <w:rFonts w:cstheme="minorHAnsi"/>
                <w:sz w:val="24"/>
                <w:szCs w:val="24"/>
              </w:rPr>
              <w:t>10:00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EA310C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7" w:name="ДатаКонПриемЗаявки_ддммгг"/>
            <w:bookmarkEnd w:id="17"/>
            <w:r>
              <w:rPr>
                <w:sz w:val="24"/>
                <w:szCs w:val="24"/>
              </w:rPr>
              <w:t>17.01.2019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8" w:name="ВремяКонПриемЗаявки_ччмм"/>
            <w:bookmarkEnd w:id="18"/>
            <w:r>
              <w:rPr>
                <w:sz w:val="24"/>
                <w:szCs w:val="24"/>
              </w:rPr>
              <w:t>18:00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EA310C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9" w:name="ДатаПубСМИ_ддммгг"/>
            <w:bookmarkEnd w:id="19"/>
            <w:r>
              <w:rPr>
                <w:sz w:val="24"/>
                <w:szCs w:val="24"/>
              </w:rPr>
              <w:t>03.12.2018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0" w:name="ВремяПубСМИ_ччмм"/>
            <w:bookmarkEnd w:id="20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EA310C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1" w:name="ДатаПубОрган_ддммгг"/>
            <w:bookmarkEnd w:id="21"/>
            <w:r>
              <w:rPr>
                <w:sz w:val="24"/>
                <w:szCs w:val="24"/>
              </w:rPr>
              <w:t>03.12.2018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2" w:name="ВремяПубОрган_ччмм"/>
            <w:bookmarkEnd w:id="22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EA310C" w:rsidP="00F000F2">
            <w:pPr>
              <w:contextualSpacing/>
              <w:rPr>
                <w:sz w:val="24"/>
                <w:szCs w:val="24"/>
              </w:rPr>
            </w:pPr>
            <w:bookmarkStart w:id="23" w:name="ДатаПубРеестр_ддммгг"/>
            <w:bookmarkEnd w:id="23"/>
            <w:r>
              <w:rPr>
                <w:sz w:val="24"/>
                <w:szCs w:val="24"/>
              </w:rPr>
              <w:t>03.12.2018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4" w:name="ВремяПубРеестр_ччмм"/>
            <w:bookmarkEnd w:id="24"/>
            <w:r>
              <w:rPr>
                <w:sz w:val="24"/>
                <w:szCs w:val="24"/>
              </w:rPr>
              <w:t>0:00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A310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ОрганизаторТорги"/>
            <w:bookmarkEnd w:id="25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Стрельникова Юлия Станиславна</w:t>
            </w:r>
          </w:p>
        </w:tc>
      </w:tr>
      <w:tr w:rsidR="00EA310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645210380487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A310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Арбитр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Стрельникова Юлия Станиславна</w:t>
            </w:r>
          </w:p>
        </w:tc>
      </w:tr>
      <w:tr w:rsidR="00EA310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645210380487</w:t>
            </w:r>
          </w:p>
        </w:tc>
      </w:tr>
      <w:tr w:rsidR="00EA310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 АУ "Лига"</w:t>
            </w:r>
          </w:p>
        </w:tc>
      </w:tr>
      <w:tr w:rsidR="00EA310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12654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A310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Суд"/>
            <w:bookmarkEnd w:id="27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Саратовской области</w:t>
            </w:r>
          </w:p>
        </w:tc>
      </w:tr>
      <w:tr w:rsidR="00EA310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А57-32886/2016 </w:t>
            </w:r>
          </w:p>
        </w:tc>
      </w:tr>
      <w:tr w:rsidR="00EA310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Арбитражного суда Саратовской области от 26.04.2017 г. по делу №А57-32886/2016 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A310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Должник"/>
            <w:bookmarkEnd w:id="28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EA310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Бахтурин Виталий Александрович</w:t>
            </w:r>
          </w:p>
        </w:tc>
      </w:tr>
      <w:tr w:rsidR="00EA310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645401134845</w:t>
            </w:r>
          </w:p>
        </w:tc>
      </w:tr>
      <w:tr w:rsidR="00EA310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 должника с приложением проекта данного договора в соответствии с представленным победителем торгов предложением о цене имущества должника. Договор купли-продажи имущества должника должен быть заключен в течение 5 (пяти) дней с даты получения победителем торгов предложения о заключении данного договора. В случае отказа или уклонения победителя торгов от подписания договора купли-продажи имущества в течение 5 (пяти) дней с даты получения предложения финансового управляющего о заключении такого договора внесенный задаток ему не возвращается и финансовый управляющий вправе предложить заключить договор купли-продажи имущества должника участнику торгов, которым предложена наиболее высокая цена имущества должника по сравнению с ценой имущества должника, предложенной другими участниками торгов, за исключением победителя торгов.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A310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КонтактноеЛицо"/>
            <w:bookmarkEnd w:id="29"/>
            <w:r>
              <w:rPr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Стрельникова Юлия Станиславна</w:t>
            </w:r>
          </w:p>
        </w:tc>
      </w:tr>
      <w:tr w:rsidR="00EA310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89873277616</w:t>
            </w:r>
          </w:p>
        </w:tc>
      </w:tr>
      <w:tr w:rsidR="00EA310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au-strelnikova@ya.ru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EA310C" w:rsidRDefault="00EA310C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0" w:name="ЛотНазвание_1"/>
      <w:bookmarkEnd w:id="30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1" w:name="Лот_1"/>
      <w:bookmarkEnd w:id="3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A310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№1</w:t>
            </w:r>
          </w:p>
        </w:tc>
      </w:tr>
      <w:tr w:rsidR="00EA310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Заявка на участие в торгах оформляется в соответствии со ст. 110 ФЗ №127-ФЗ «О несостоятельности (банкротстве)», Регламентом электронной площадки и условиями торгов в форме электронного документа.Заявка на участие в торгах оформляется в форме электронного документа.Для участия в торгах заявитель с помощью программно-аппаратных средств сайта представляет оператору электронной площадки заявку на участие в торгах и прилагаемые к ней документы, соответствующие требованиям, установленным статьями 110 и 139 Закона о несостоятельности (банкротстве) и настоящим пунктом, в форме электронного сообщения, подписанного квалифицированной электронной подписью заявителя.  Заявка на участие в торгах должна соответствовать требованиям, установленным ФЗ РФ «О несостоятельности (банкротстве)» и указанным в сообщении о проведении торгов, и оформляется в форме электронного документа. 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 - наименование, организационно-правовую форму, место нахождения, почтовый адрес (для юридического лица) заявителя; - фамилию, имя, отчество, паспортные данные, сведения о месте жительства (для физического лица) заявителя; - номер контактного телефона, адрес электронной почты заявителя; - обязательство заявителя соблюдать требования, указанные в сообщении о проведении торгов. 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а также сведения о заявителе, саморегулируемой организации арбитражных управляющих, членом или руководителем которой является финансовый управляющий. К заявке на участие в торгах должны прилагаться следующие документы: -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- документ, подтверждающий полномочия лица на осуществление действий от имени заявителя; - решение об одобрении или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учредительными документами юридического лица и если для участника открытых торгов приобретение имущества или внесение денежных средств в качестве задатка являются крупной сделкой; - предложение о цене приобретения имущества (не меньшем чем начальная цена продажи имущества). Документы, прилагаемые к заявке, представляются в форме электронных документов, подписанных электронной цифровой подписью заявителя. 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 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 Оператор электронной площадки обеспечивает невозможность подачи заявителем новой заявки без отзыва первоначальной заявки.</w:t>
            </w:r>
          </w:p>
        </w:tc>
      </w:tr>
      <w:tr w:rsidR="00EA310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½ квартиры (общая долевая собственность, доля в праве ½), адрес: г. Саратов, ул. Новоузенская, д. 11/13, кв. 77, кадастровый номер: 64:48:060125:2997, 134,3 кв.м - общая площадь, продаваемая площадь ½ - 67,15 кв.м. </w:t>
            </w:r>
          </w:p>
        </w:tc>
      </w:tr>
      <w:tr w:rsidR="00EA310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3240000,00</w:t>
            </w:r>
          </w:p>
        </w:tc>
      </w:tr>
      <w:tr w:rsidR="00EA310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A310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162000,00</w:t>
            </w:r>
          </w:p>
        </w:tc>
      </w:tr>
      <w:tr w:rsidR="00EA310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EA310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EA310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EA310C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EA310C" w:rsidRDefault="00EA310C" w:rsidP="00EA310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Получатель: Бахтурин Виталий Александрович Банк получателя – Доп. офис №8622/0311 ПАО Сбербанк Кор/счет банка: 30101810500000000649 БИК банка– 046311649 Счет получателя – 40817810456009758208</w:t>
            </w:r>
          </w:p>
        </w:tc>
      </w:tr>
    </w:tbl>
    <w:p w:rsidR="008D4BB1" w:rsidRPr="002F2424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</w:t>
      </w:r>
      <w:bookmarkStart w:id="32" w:name="ЛотНазвание_2"/>
      <w:bookmarkEnd w:id="32"/>
      <w:r>
        <w:rPr>
          <w:rFonts w:cstheme="minorHAnsi"/>
          <w:sz w:val="24"/>
          <w:szCs w:val="24"/>
        </w:rPr>
        <w:t xml:space="preserve"> </w:t>
      </w:r>
      <w:bookmarkStart w:id="33" w:name="Лот_2"/>
      <w:bookmarkEnd w:id="33"/>
      <w:r w:rsidR="00B519CB">
        <w:rPr>
          <w:rFonts w:cstheme="minorHAnsi"/>
          <w:sz w:val="24"/>
          <w:szCs w:val="24"/>
        </w:rPr>
        <w:t xml:space="preserve"> </w:t>
      </w:r>
      <w:bookmarkStart w:id="34" w:name="ЛотНазвание_3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Название_4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Название_5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Название_6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Название_7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Название_8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_8"/>
      <w:bookmarkEnd w:id="45"/>
      <w:r w:rsidR="00A36A9A">
        <w:rPr>
          <w:rFonts w:cstheme="minorHAnsi"/>
          <w:sz w:val="24"/>
          <w:szCs w:val="24"/>
        </w:rPr>
        <w:t xml:space="preserve"> </w:t>
      </w:r>
      <w:bookmarkStart w:id="46" w:name="ЛотНазвание_9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Название_10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_10"/>
      <w:bookmarkEnd w:id="49"/>
      <w:r w:rsidR="003B4192">
        <w:rPr>
          <w:rFonts w:cstheme="minorHAnsi"/>
          <w:sz w:val="24"/>
          <w:szCs w:val="24"/>
        </w:rPr>
        <w:t xml:space="preserve"> </w:t>
      </w:r>
      <w:bookmarkStart w:id="50" w:name="ЛотНазвание_11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Название_12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Название_13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Название_14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_14"/>
      <w:bookmarkEnd w:id="57"/>
      <w:r w:rsidR="008F7C73">
        <w:rPr>
          <w:rFonts w:cstheme="minorHAnsi"/>
          <w:sz w:val="24"/>
          <w:szCs w:val="24"/>
        </w:rPr>
        <w:t xml:space="preserve"> </w:t>
      </w:r>
      <w:bookmarkStart w:id="58" w:name="ЛотНазвание_15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Название_16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Название_17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Название_18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Название_19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Название_20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Название_21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Название_22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Название_23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Название_24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Название_25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Название_26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Название_27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Название_28"/>
      <w:bookmarkStart w:id="85" w:name="Лот_28"/>
      <w:bookmarkEnd w:id="84"/>
      <w:bookmarkEnd w:id="85"/>
      <w:r w:rsidR="00B663B2">
        <w:rPr>
          <w:rFonts w:cstheme="minorHAnsi"/>
          <w:sz w:val="24"/>
          <w:szCs w:val="24"/>
        </w:rPr>
        <w:t xml:space="preserve"> </w:t>
      </w:r>
      <w:bookmarkStart w:id="86" w:name="ЛотНазвание_29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Название_30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_30"/>
      <w:bookmarkEnd w:id="89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0" w:name="ЛотНазвание_31"/>
      <w:bookmarkEnd w:id="90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1" w:name="Лот_31"/>
      <w:bookmarkEnd w:id="91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2" w:name="ЛотНазвание_32"/>
      <w:bookmarkEnd w:id="92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3" w:name="Лот_32"/>
      <w:bookmarkEnd w:id="93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4" w:name="ЛотНазвание_33"/>
      <w:bookmarkEnd w:id="94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5" w:name="Лот_33"/>
      <w:bookmarkEnd w:id="9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6" w:name="ЛотНазвание_34"/>
      <w:bookmarkEnd w:id="9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7" w:name="Лот_34"/>
      <w:bookmarkEnd w:id="9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8" w:name="ЛотНазвание_35"/>
      <w:bookmarkEnd w:id="9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9" w:name="Лот_35"/>
      <w:bookmarkEnd w:id="9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0" w:name="ЛотНазвание_36"/>
      <w:bookmarkEnd w:id="10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1" w:name="Лот_36"/>
      <w:bookmarkEnd w:id="10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2" w:name="ЛотНазвание_37"/>
      <w:bookmarkEnd w:id="10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3" w:name="Лот_37"/>
      <w:bookmarkEnd w:id="10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4" w:name="ЛотНазвание_38"/>
      <w:bookmarkEnd w:id="10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5" w:name="Лот_38"/>
      <w:bookmarkEnd w:id="10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6" w:name="ЛотНазвание_39"/>
      <w:bookmarkEnd w:id="10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7" w:name="Лот_39"/>
      <w:bookmarkEnd w:id="10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8" w:name="ЛотНазвание_40"/>
      <w:bookmarkEnd w:id="10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9" w:name="Лот_40"/>
      <w:bookmarkEnd w:id="10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0" w:name="ЛотНазвание_41"/>
      <w:bookmarkEnd w:id="11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1" w:name="Лот_41"/>
      <w:bookmarkEnd w:id="11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2" w:name="ЛотНазвание_42"/>
      <w:bookmarkEnd w:id="11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3" w:name="Лот_42"/>
      <w:bookmarkEnd w:id="11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4" w:name="ЛотНазвание_43"/>
      <w:bookmarkEnd w:id="11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5" w:name="Лот_43"/>
      <w:bookmarkEnd w:id="11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6" w:name="ЛотНазвание_44"/>
      <w:bookmarkEnd w:id="11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7" w:name="Лот_44"/>
      <w:bookmarkEnd w:id="11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8" w:name="ЛотНазвание_45"/>
      <w:bookmarkEnd w:id="11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9" w:name="Лот_45"/>
      <w:bookmarkEnd w:id="11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0" w:name="ЛотНазвание_46"/>
      <w:bookmarkEnd w:id="12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1" w:name="Лот_46"/>
      <w:bookmarkEnd w:id="12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2" w:name="ЛотНазвание_47"/>
      <w:bookmarkEnd w:id="12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3" w:name="Лот_47"/>
      <w:bookmarkEnd w:id="12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4" w:name="ЛотНазвание_48"/>
      <w:bookmarkEnd w:id="12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5" w:name="Лот_48"/>
      <w:bookmarkEnd w:id="12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6" w:name="ЛотНазвание_49"/>
      <w:bookmarkEnd w:id="12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7" w:name="Лот_49"/>
      <w:bookmarkEnd w:id="12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8" w:name="ЛотНазвание_50"/>
      <w:bookmarkEnd w:id="12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9" w:name="Лот_50"/>
      <w:bookmarkStart w:id="130" w:name="ЛотНазвание_51"/>
      <w:bookmarkEnd w:id="129"/>
      <w:bookmarkEnd w:id="13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1" w:name="Лот_51"/>
      <w:bookmarkEnd w:id="131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D6902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bookmarkStart w:id="132" w:name="ПодтверждениеПодпись"/>
      <w:bookmarkEnd w:id="132"/>
    </w:p>
    <w:sectPr w:rsidR="00E34B0E" w:rsidRPr="002D6902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D6902"/>
    <w:rsid w:val="002E706E"/>
    <w:rsid w:val="002F2424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E02A52"/>
    <w:rsid w:val="00E3311F"/>
    <w:rsid w:val="00E34B0E"/>
    <w:rsid w:val="00E43870"/>
    <w:rsid w:val="00E76B17"/>
    <w:rsid w:val="00EA310C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A1067-07BD-4BE0-9250-5F5826BD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2018-12-04T09:30:00Z</dcterms:created>
  <dcterms:modified xsi:type="dcterms:W3CDTF">2018-12-04T09:30:00Z</dcterms:modified>
</cp:coreProperties>
</file>